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04E82" w14:textId="77777777" w:rsidR="00AC383A" w:rsidRDefault="00AC383A" w:rsidP="006015C1">
      <w:pPr>
        <w:spacing w:after="0" w:line="240" w:lineRule="auto"/>
        <w:rPr>
          <w:b/>
          <w:bCs/>
        </w:rPr>
      </w:pPr>
    </w:p>
    <w:p w14:paraId="42B29B41" w14:textId="53161BAB" w:rsidR="006015C1" w:rsidRDefault="006015C1" w:rsidP="006015C1">
      <w:pPr>
        <w:spacing w:after="0" w:line="240" w:lineRule="auto"/>
        <w:rPr>
          <w:b/>
          <w:bCs/>
        </w:rPr>
      </w:pPr>
      <w:r>
        <w:rPr>
          <w:b/>
          <w:bCs/>
        </w:rPr>
        <w:t>Gloucestershire Association of Parish &amp; Town Councils</w:t>
      </w:r>
    </w:p>
    <w:p w14:paraId="2DB35023" w14:textId="77777777" w:rsidR="00AC383A" w:rsidRDefault="00AC383A" w:rsidP="006015C1">
      <w:pPr>
        <w:spacing w:after="0" w:line="240" w:lineRule="auto"/>
        <w:rPr>
          <w:b/>
          <w:bCs/>
        </w:rPr>
      </w:pPr>
    </w:p>
    <w:p w14:paraId="4C1484CF" w14:textId="02E887ED" w:rsidR="006015C1" w:rsidRPr="006015C1" w:rsidRDefault="006015C1" w:rsidP="006015C1">
      <w:pPr>
        <w:spacing w:after="0" w:line="240" w:lineRule="auto"/>
      </w:pPr>
      <w:r w:rsidRPr="006015C1">
        <w:rPr>
          <w:b/>
          <w:bCs/>
        </w:rPr>
        <w:t>RESPONSE</w:t>
      </w:r>
      <w:r>
        <w:rPr>
          <w:b/>
          <w:bCs/>
        </w:rPr>
        <w:t xml:space="preserve"> to </w:t>
      </w:r>
      <w:r w:rsidRPr="006015C1">
        <w:rPr>
          <w:b/>
          <w:bCs/>
        </w:rPr>
        <w:t>Proposals for Local Government Reorganisation in Gloucestershire</w:t>
      </w:r>
    </w:p>
    <w:p w14:paraId="4A37DDC1" w14:textId="4D0A902B" w:rsidR="006015C1" w:rsidRPr="006015C1" w:rsidRDefault="006015C1" w:rsidP="006015C1">
      <w:pPr>
        <w:spacing w:after="0" w:line="240" w:lineRule="auto"/>
      </w:pPr>
    </w:p>
    <w:p w14:paraId="5C4305CF" w14:textId="77777777" w:rsidR="006015C1" w:rsidRPr="006015C1" w:rsidRDefault="006015C1" w:rsidP="006015C1">
      <w:pPr>
        <w:spacing w:after="0" w:line="240" w:lineRule="auto"/>
        <w:rPr>
          <w:b/>
          <w:bCs/>
        </w:rPr>
      </w:pPr>
      <w:r w:rsidRPr="006015C1">
        <w:rPr>
          <w:b/>
          <w:bCs/>
        </w:rPr>
        <w:t>1. Introduction</w:t>
      </w:r>
    </w:p>
    <w:p w14:paraId="52D7E91A" w14:textId="77777777" w:rsidR="006015C1" w:rsidRDefault="006015C1" w:rsidP="006015C1">
      <w:pPr>
        <w:spacing w:after="0" w:line="240" w:lineRule="auto"/>
      </w:pPr>
    </w:p>
    <w:p w14:paraId="77569998" w14:textId="77777777" w:rsidR="006238CC" w:rsidRDefault="006238CC" w:rsidP="006238CC">
      <w:pPr>
        <w:spacing w:after="0" w:line="240" w:lineRule="auto"/>
      </w:pPr>
      <w:r>
        <w:t>GAPTC welcomes the opportunity to respond to the Government’s consultation on proposals for local government reorganisation in Gloucestershire.</w:t>
      </w:r>
    </w:p>
    <w:p w14:paraId="504F4964" w14:textId="77777777" w:rsidR="006238CC" w:rsidRDefault="006238CC" w:rsidP="006238CC">
      <w:pPr>
        <w:spacing w:after="0" w:line="240" w:lineRule="auto"/>
      </w:pPr>
    </w:p>
    <w:p w14:paraId="0CBF64C3" w14:textId="77777777" w:rsidR="006238CC" w:rsidRDefault="006238CC" w:rsidP="006238CC">
      <w:pPr>
        <w:spacing w:after="0" w:line="240" w:lineRule="auto"/>
      </w:pPr>
      <w:r>
        <w:t>This response is informed by direct engagement with our member councils, including our countywide devolution survey, consultation responses submitted by parish and town councils, and wider input gathered through workshops, summits and working group discussions over the past year.</w:t>
      </w:r>
    </w:p>
    <w:p w14:paraId="258941BE" w14:textId="77777777" w:rsidR="006238CC" w:rsidRDefault="006238CC" w:rsidP="006238CC">
      <w:pPr>
        <w:spacing w:after="0" w:line="240" w:lineRule="auto"/>
      </w:pPr>
    </w:p>
    <w:p w14:paraId="1DABD2A5" w14:textId="77777777" w:rsidR="006238CC" w:rsidRDefault="006238CC" w:rsidP="006238CC">
      <w:pPr>
        <w:spacing w:after="0" w:line="240" w:lineRule="auto"/>
      </w:pPr>
      <w:r>
        <w:t>Across this evidence base, there is a clear and consistent view from the sector: many parish and town councils support the establishment of a single unitary authority for Gloucestershire as the most coherent and recognisable structure at a county level.</w:t>
      </w:r>
    </w:p>
    <w:p w14:paraId="63BCB564" w14:textId="77777777" w:rsidR="006238CC" w:rsidRDefault="006238CC" w:rsidP="006238CC">
      <w:pPr>
        <w:spacing w:after="0" w:line="240" w:lineRule="auto"/>
      </w:pPr>
    </w:p>
    <w:p w14:paraId="5987B909" w14:textId="77777777" w:rsidR="006238CC" w:rsidRDefault="006238CC" w:rsidP="006238CC">
      <w:pPr>
        <w:spacing w:after="0" w:line="240" w:lineRule="auto"/>
      </w:pPr>
      <w:r>
        <w:t>However, local government reorganisation is not solely a question of structural configuration. The effectiveness of any new system will ultimately be determined by how well it reflects and responds to the needs of individual communities across Gloucestershire. Those needs are understood most clearly at the neighbourhood level and are already addressed, day to day, by parish and town councils as the closest tier of government to residents.</w:t>
      </w:r>
    </w:p>
    <w:p w14:paraId="46D263D6" w14:textId="77777777" w:rsidR="006238CC" w:rsidRDefault="006238CC" w:rsidP="006238CC">
      <w:pPr>
        <w:spacing w:after="0" w:line="240" w:lineRule="auto"/>
      </w:pPr>
    </w:p>
    <w:p w14:paraId="65954ACD" w14:textId="731B6316" w:rsidR="006015C1" w:rsidRPr="006015C1" w:rsidRDefault="006238CC" w:rsidP="006238CC">
      <w:pPr>
        <w:spacing w:after="0" w:line="240" w:lineRule="auto"/>
      </w:pPr>
      <w:r>
        <w:t>This response therefore focuses not only on the overall structure, but on the principles, governance arrangements and relationships that will be required to ensure that any new unitary authority—particularly a single countywide model—works effectively in practice. In doing so, it sets out how parish and town councils must be recognised, engaged and enabled as core partners in delivering local outcomes and sustaining strong, connected communities</w:t>
      </w:r>
      <w:r w:rsidR="006015C1" w:rsidRPr="006015C1">
        <w:t>.</w:t>
      </w:r>
    </w:p>
    <w:p w14:paraId="2B63888B" w14:textId="29499F95" w:rsidR="006015C1" w:rsidRPr="006015C1" w:rsidRDefault="006015C1" w:rsidP="006015C1">
      <w:pPr>
        <w:spacing w:after="0" w:line="240" w:lineRule="auto"/>
      </w:pPr>
    </w:p>
    <w:p w14:paraId="247A0FD2" w14:textId="77777777" w:rsidR="006015C1" w:rsidRPr="006015C1" w:rsidRDefault="006015C1" w:rsidP="006015C1">
      <w:pPr>
        <w:spacing w:after="0" w:line="240" w:lineRule="auto"/>
        <w:rPr>
          <w:b/>
          <w:bCs/>
        </w:rPr>
      </w:pPr>
      <w:r w:rsidRPr="006015C1">
        <w:rPr>
          <w:b/>
          <w:bCs/>
        </w:rPr>
        <w:t>2. How this response aligns with the consultation criteria</w:t>
      </w:r>
    </w:p>
    <w:p w14:paraId="35517EDB" w14:textId="77777777" w:rsidR="006015C1" w:rsidRDefault="006015C1" w:rsidP="006015C1">
      <w:pPr>
        <w:spacing w:after="0" w:line="240" w:lineRule="auto"/>
      </w:pPr>
    </w:p>
    <w:p w14:paraId="63A9C3D3" w14:textId="77777777" w:rsidR="006238CC" w:rsidRDefault="006238CC" w:rsidP="006238CC">
      <w:pPr>
        <w:spacing w:after="0" w:line="240" w:lineRule="auto"/>
      </w:pPr>
      <w:r>
        <w:t>This response is structured to align with the key themes and assessment criteria set out in the consultation. Rather than responding to each question in isolation, it addresses the underlying considerations across the following areas:</w:t>
      </w:r>
    </w:p>
    <w:p w14:paraId="02CA5C02" w14:textId="77777777" w:rsidR="006238CC" w:rsidRDefault="006238CC" w:rsidP="006238CC">
      <w:pPr>
        <w:spacing w:after="0" w:line="240" w:lineRule="auto"/>
      </w:pPr>
    </w:p>
    <w:p w14:paraId="283870DA" w14:textId="7CCFBBFC" w:rsidR="006238CC" w:rsidRDefault="006238CC" w:rsidP="006238CC">
      <w:pPr>
        <w:pStyle w:val="ListParagraph"/>
        <w:numPr>
          <w:ilvl w:val="0"/>
          <w:numId w:val="89"/>
        </w:numPr>
        <w:spacing w:after="0" w:line="240" w:lineRule="auto"/>
      </w:pPr>
      <w:r>
        <w:t>geography and place (Q1)</w:t>
      </w:r>
    </w:p>
    <w:p w14:paraId="184E108D" w14:textId="3A2D83DA" w:rsidR="006238CC" w:rsidRDefault="006238CC" w:rsidP="006238CC">
      <w:pPr>
        <w:pStyle w:val="ListParagraph"/>
        <w:numPr>
          <w:ilvl w:val="0"/>
          <w:numId w:val="89"/>
        </w:numPr>
        <w:spacing w:after="0" w:line="240" w:lineRule="auto"/>
      </w:pPr>
      <w:r>
        <w:t>delivery, scale and sustainability (Q2–Q4)</w:t>
      </w:r>
    </w:p>
    <w:p w14:paraId="05DDA1EE" w14:textId="0D08ED1E" w:rsidR="006238CC" w:rsidRDefault="006238CC" w:rsidP="006238CC">
      <w:pPr>
        <w:pStyle w:val="ListParagraph"/>
        <w:numPr>
          <w:ilvl w:val="0"/>
          <w:numId w:val="89"/>
        </w:numPr>
        <w:spacing w:after="0" w:line="240" w:lineRule="auto"/>
      </w:pPr>
      <w:r>
        <w:t>local voice and engagement (Q5 and Q7)</w:t>
      </w:r>
    </w:p>
    <w:p w14:paraId="2299DD7D" w14:textId="014731F7" w:rsidR="006238CC" w:rsidRDefault="006238CC" w:rsidP="006238CC">
      <w:pPr>
        <w:pStyle w:val="ListParagraph"/>
        <w:numPr>
          <w:ilvl w:val="0"/>
          <w:numId w:val="89"/>
        </w:numPr>
        <w:spacing w:after="0" w:line="240" w:lineRule="auto"/>
      </w:pPr>
      <w:r>
        <w:t>devolution and future governance (Q6)</w:t>
      </w:r>
    </w:p>
    <w:p w14:paraId="0412C718" w14:textId="34FA49ED" w:rsidR="006015C1" w:rsidRPr="006015C1" w:rsidRDefault="006238CC" w:rsidP="006238CC">
      <w:pPr>
        <w:pStyle w:val="ListParagraph"/>
        <w:numPr>
          <w:ilvl w:val="0"/>
          <w:numId w:val="89"/>
        </w:numPr>
        <w:spacing w:after="0" w:line="240" w:lineRule="auto"/>
      </w:pPr>
      <w:r>
        <w:t>boundary considerations, including the Gloucester-specific proposal</w:t>
      </w:r>
    </w:p>
    <w:p w14:paraId="5A2CA92E" w14:textId="77777777" w:rsidR="006238CC" w:rsidRDefault="006238CC" w:rsidP="006015C1">
      <w:pPr>
        <w:spacing w:after="0" w:line="240" w:lineRule="auto"/>
        <w:rPr>
          <w:b/>
          <w:bCs/>
        </w:rPr>
      </w:pPr>
    </w:p>
    <w:p w14:paraId="5F6CA548" w14:textId="45AEB398" w:rsidR="006015C1" w:rsidRPr="006015C1" w:rsidRDefault="006015C1" w:rsidP="006015C1">
      <w:pPr>
        <w:spacing w:after="0" w:line="240" w:lineRule="auto"/>
        <w:rPr>
          <w:b/>
          <w:bCs/>
        </w:rPr>
      </w:pPr>
      <w:r w:rsidRPr="006015C1">
        <w:rPr>
          <w:b/>
          <w:bCs/>
        </w:rPr>
        <w:t>3. The Strategic Role of Parish and Town Councils</w:t>
      </w:r>
    </w:p>
    <w:p w14:paraId="4C283B71" w14:textId="77777777" w:rsidR="006015C1" w:rsidRDefault="006015C1" w:rsidP="006015C1">
      <w:pPr>
        <w:spacing w:after="0" w:line="240" w:lineRule="auto"/>
      </w:pPr>
    </w:p>
    <w:p w14:paraId="660D9285" w14:textId="127C7885" w:rsidR="006015C1" w:rsidRPr="006015C1" w:rsidRDefault="006015C1" w:rsidP="006015C1">
      <w:pPr>
        <w:spacing w:after="0" w:line="240" w:lineRule="auto"/>
      </w:pPr>
      <w:r w:rsidRPr="006015C1">
        <w:t>Parish and town councils are not simply stakeholders within the system—they are the existing neighbourhood tier of government.</w:t>
      </w:r>
    </w:p>
    <w:p w14:paraId="31BAF094" w14:textId="14907A83" w:rsidR="006015C1" w:rsidRDefault="006015C1" w:rsidP="006015C1">
      <w:pPr>
        <w:spacing w:after="0" w:line="240" w:lineRule="auto"/>
      </w:pPr>
      <w:r w:rsidRPr="006015C1">
        <w:t>Across Gloucestershire, they already:</w:t>
      </w:r>
    </w:p>
    <w:p w14:paraId="08AC0485" w14:textId="77777777" w:rsidR="006015C1" w:rsidRPr="006015C1" w:rsidRDefault="006015C1" w:rsidP="006015C1">
      <w:pPr>
        <w:spacing w:after="0" w:line="240" w:lineRule="auto"/>
      </w:pPr>
    </w:p>
    <w:p w14:paraId="6BAC25B2" w14:textId="77777777" w:rsidR="006015C1" w:rsidRPr="006015C1" w:rsidRDefault="006015C1" w:rsidP="006015C1">
      <w:pPr>
        <w:numPr>
          <w:ilvl w:val="0"/>
          <w:numId w:val="55"/>
        </w:numPr>
        <w:spacing w:after="0" w:line="240" w:lineRule="auto"/>
      </w:pPr>
      <w:r w:rsidRPr="006015C1">
        <w:lastRenderedPageBreak/>
        <w:t xml:space="preserve">provide democratic representation at the most local level </w:t>
      </w:r>
    </w:p>
    <w:p w14:paraId="462F05E4" w14:textId="77777777" w:rsidR="006015C1" w:rsidRPr="006015C1" w:rsidRDefault="006015C1" w:rsidP="006015C1">
      <w:pPr>
        <w:numPr>
          <w:ilvl w:val="0"/>
          <w:numId w:val="55"/>
        </w:numPr>
        <w:spacing w:after="0" w:line="240" w:lineRule="auto"/>
      </w:pPr>
      <w:r w:rsidRPr="006015C1">
        <w:t xml:space="preserve">deliver services and manage community assets </w:t>
      </w:r>
    </w:p>
    <w:p w14:paraId="1501C8C8" w14:textId="77777777" w:rsidR="006015C1" w:rsidRPr="006015C1" w:rsidRDefault="006015C1" w:rsidP="006015C1">
      <w:pPr>
        <w:numPr>
          <w:ilvl w:val="0"/>
          <w:numId w:val="55"/>
        </w:numPr>
        <w:spacing w:after="0" w:line="240" w:lineRule="auto"/>
      </w:pPr>
      <w:r w:rsidRPr="006015C1">
        <w:t xml:space="preserve">convene partners across public, voluntary and community sectors </w:t>
      </w:r>
    </w:p>
    <w:p w14:paraId="0080690B" w14:textId="77777777" w:rsidR="006015C1" w:rsidRPr="006015C1" w:rsidRDefault="006015C1" w:rsidP="006015C1">
      <w:pPr>
        <w:numPr>
          <w:ilvl w:val="0"/>
          <w:numId w:val="55"/>
        </w:numPr>
        <w:spacing w:after="0" w:line="240" w:lineRule="auto"/>
      </w:pPr>
      <w:r w:rsidRPr="006015C1">
        <w:t xml:space="preserve">respond directly to local needs and priorities </w:t>
      </w:r>
    </w:p>
    <w:p w14:paraId="173CA670" w14:textId="77777777" w:rsidR="006015C1" w:rsidRDefault="006015C1" w:rsidP="006015C1">
      <w:pPr>
        <w:spacing w:after="0" w:line="240" w:lineRule="auto"/>
      </w:pPr>
    </w:p>
    <w:p w14:paraId="594A69F1" w14:textId="4A361125" w:rsidR="006015C1" w:rsidRPr="006015C1" w:rsidRDefault="006015C1" w:rsidP="006015C1">
      <w:pPr>
        <w:spacing w:after="0" w:line="240" w:lineRule="auto"/>
      </w:pPr>
      <w:r w:rsidRPr="006015C1">
        <w:t>Their contribution extends beyond governance into health, wellbeing, and economic resilience.</w:t>
      </w:r>
    </w:p>
    <w:p w14:paraId="16CF1D11" w14:textId="0CC9E30B" w:rsidR="006015C1" w:rsidRDefault="006015C1" w:rsidP="006015C1">
      <w:pPr>
        <w:spacing w:after="0" w:line="240" w:lineRule="auto"/>
      </w:pPr>
      <w:r w:rsidRPr="006015C1">
        <w:t>Parish and town councils play a critical role in:</w:t>
      </w:r>
    </w:p>
    <w:p w14:paraId="1BA501BE" w14:textId="77777777" w:rsidR="006015C1" w:rsidRPr="006015C1" w:rsidRDefault="006015C1" w:rsidP="006015C1">
      <w:pPr>
        <w:spacing w:after="0" w:line="240" w:lineRule="auto"/>
      </w:pPr>
    </w:p>
    <w:p w14:paraId="229AE44D" w14:textId="77777777" w:rsidR="006015C1" w:rsidRPr="006015C1" w:rsidRDefault="006015C1" w:rsidP="006015C1">
      <w:pPr>
        <w:numPr>
          <w:ilvl w:val="0"/>
          <w:numId w:val="56"/>
        </w:numPr>
        <w:spacing w:after="0" w:line="240" w:lineRule="auto"/>
      </w:pPr>
      <w:r w:rsidRPr="006015C1">
        <w:t xml:space="preserve">reducing social isolation and supporting ageing populations </w:t>
      </w:r>
    </w:p>
    <w:p w14:paraId="2B35309F" w14:textId="77777777" w:rsidR="006015C1" w:rsidRPr="006015C1" w:rsidRDefault="006015C1" w:rsidP="006015C1">
      <w:pPr>
        <w:numPr>
          <w:ilvl w:val="0"/>
          <w:numId w:val="56"/>
        </w:numPr>
        <w:spacing w:after="0" w:line="240" w:lineRule="auto"/>
      </w:pPr>
      <w:r w:rsidRPr="006015C1">
        <w:t xml:space="preserve">enabling preventative approaches that reduce pressure on NHS and social care services </w:t>
      </w:r>
    </w:p>
    <w:p w14:paraId="329704A7" w14:textId="77777777" w:rsidR="006015C1" w:rsidRPr="006015C1" w:rsidRDefault="006015C1" w:rsidP="006015C1">
      <w:pPr>
        <w:numPr>
          <w:ilvl w:val="0"/>
          <w:numId w:val="56"/>
        </w:numPr>
        <w:spacing w:after="0" w:line="240" w:lineRule="auto"/>
      </w:pPr>
      <w:r w:rsidRPr="006015C1">
        <w:t xml:space="preserve">supporting local economies, high streets, and community infrastructure </w:t>
      </w:r>
    </w:p>
    <w:p w14:paraId="669A39AE" w14:textId="77777777" w:rsidR="006015C1" w:rsidRPr="006015C1" w:rsidRDefault="006015C1" w:rsidP="006015C1">
      <w:pPr>
        <w:numPr>
          <w:ilvl w:val="0"/>
          <w:numId w:val="56"/>
        </w:numPr>
        <w:spacing w:after="0" w:line="240" w:lineRule="auto"/>
      </w:pPr>
      <w:r w:rsidRPr="006015C1">
        <w:t xml:space="preserve">strengthening social cohesion and community resilience </w:t>
      </w:r>
    </w:p>
    <w:p w14:paraId="5BCDBAD3" w14:textId="77777777" w:rsidR="006015C1" w:rsidRDefault="006015C1" w:rsidP="006015C1">
      <w:pPr>
        <w:spacing w:after="0" w:line="240" w:lineRule="auto"/>
      </w:pPr>
    </w:p>
    <w:p w14:paraId="45A3BF32" w14:textId="24408F7F" w:rsidR="006015C1" w:rsidRPr="006015C1" w:rsidRDefault="006015C1" w:rsidP="006015C1">
      <w:pPr>
        <w:spacing w:after="0" w:line="240" w:lineRule="auto"/>
      </w:pPr>
      <w:r w:rsidRPr="006015C1">
        <w:t>In a county such as Gloucestershire, with a growing and ageing population, this role is increasingly important. Investment in the first tier of local government is not only democratic—it is economically and socially preventative, reducing demand on more costly public services.</w:t>
      </w:r>
    </w:p>
    <w:p w14:paraId="35EACC16" w14:textId="1B918F06" w:rsidR="006015C1" w:rsidRDefault="006015C1" w:rsidP="006015C1">
      <w:pPr>
        <w:spacing w:after="0" w:line="240" w:lineRule="auto"/>
      </w:pPr>
      <w:r w:rsidRPr="006015C1">
        <w:t>Any future structure</w:t>
      </w:r>
      <w:r w:rsidR="006238CC">
        <w:t xml:space="preserve">, particularly within a single unitary authority model, </w:t>
      </w:r>
      <w:r w:rsidRPr="006015C1">
        <w:t>must therefore:</w:t>
      </w:r>
    </w:p>
    <w:p w14:paraId="5334FB52" w14:textId="77777777" w:rsidR="006015C1" w:rsidRPr="006015C1" w:rsidRDefault="006015C1" w:rsidP="006015C1">
      <w:pPr>
        <w:spacing w:after="0" w:line="240" w:lineRule="auto"/>
      </w:pPr>
    </w:p>
    <w:p w14:paraId="0BA4498D" w14:textId="77777777" w:rsidR="006015C1" w:rsidRPr="006015C1" w:rsidRDefault="006015C1" w:rsidP="006015C1">
      <w:pPr>
        <w:numPr>
          <w:ilvl w:val="0"/>
          <w:numId w:val="57"/>
        </w:numPr>
        <w:spacing w:after="0" w:line="240" w:lineRule="auto"/>
      </w:pPr>
      <w:r w:rsidRPr="006015C1">
        <w:t xml:space="preserve">recognise parish and town councils as core delivery partners </w:t>
      </w:r>
    </w:p>
    <w:p w14:paraId="38A66CBB" w14:textId="77777777" w:rsidR="006015C1" w:rsidRPr="006015C1" w:rsidRDefault="006015C1" w:rsidP="006015C1">
      <w:pPr>
        <w:numPr>
          <w:ilvl w:val="0"/>
          <w:numId w:val="57"/>
        </w:numPr>
        <w:spacing w:after="0" w:line="240" w:lineRule="auto"/>
      </w:pPr>
      <w:r w:rsidRPr="006015C1">
        <w:t xml:space="preserve">build on this existing infrastructure </w:t>
      </w:r>
    </w:p>
    <w:p w14:paraId="63A618D9" w14:textId="77777777" w:rsidR="006015C1" w:rsidRPr="006015C1" w:rsidRDefault="006015C1" w:rsidP="006015C1">
      <w:pPr>
        <w:numPr>
          <w:ilvl w:val="0"/>
          <w:numId w:val="57"/>
        </w:numPr>
        <w:spacing w:after="0" w:line="240" w:lineRule="auto"/>
      </w:pPr>
      <w:r w:rsidRPr="006015C1">
        <w:t xml:space="preserve">strengthen, not dilute, their role within neighbourhood governance </w:t>
      </w:r>
    </w:p>
    <w:p w14:paraId="761431A4" w14:textId="329A5DB8" w:rsidR="006015C1" w:rsidRPr="006015C1" w:rsidRDefault="006015C1" w:rsidP="006015C1">
      <w:pPr>
        <w:spacing w:after="0" w:line="240" w:lineRule="auto"/>
      </w:pPr>
    </w:p>
    <w:p w14:paraId="7FC16798" w14:textId="77777777" w:rsidR="006015C1" w:rsidRPr="006015C1" w:rsidRDefault="006015C1" w:rsidP="006015C1">
      <w:pPr>
        <w:spacing w:after="0" w:line="240" w:lineRule="auto"/>
        <w:rPr>
          <w:b/>
          <w:bCs/>
        </w:rPr>
      </w:pPr>
      <w:r w:rsidRPr="006015C1">
        <w:rPr>
          <w:b/>
          <w:bCs/>
        </w:rPr>
        <w:t>A. Geography and Place (Q1)</w:t>
      </w:r>
    </w:p>
    <w:p w14:paraId="0BD4821B" w14:textId="77777777" w:rsidR="006015C1" w:rsidRDefault="006015C1" w:rsidP="006015C1">
      <w:pPr>
        <w:spacing w:after="0" w:line="240" w:lineRule="auto"/>
      </w:pPr>
    </w:p>
    <w:p w14:paraId="39B03EB6" w14:textId="31214BCE" w:rsidR="006015C1" w:rsidRPr="006015C1" w:rsidRDefault="006238CC" w:rsidP="006015C1">
      <w:pPr>
        <w:spacing w:after="0" w:line="240" w:lineRule="auto"/>
      </w:pPr>
      <w:r w:rsidRPr="006238CC">
        <w:t>A single countywide geography broadly aligns with how residents experience Gloucestershire; however</w:t>
      </w:r>
      <w:r>
        <w:t>, p</w:t>
      </w:r>
      <w:r w:rsidR="006015C1" w:rsidRPr="006015C1">
        <w:t>arish and town councils have a uniquely detailed understanding of the places they serve</w:t>
      </w:r>
      <w:r>
        <w:t>, and this</w:t>
      </w:r>
      <w:r w:rsidR="006015C1" w:rsidRPr="006015C1">
        <w:t xml:space="preserve"> hyperlocal knowledge must be central to determining what constitutes </w:t>
      </w:r>
      <w:r>
        <w:t>‘</w:t>
      </w:r>
      <w:r w:rsidR="006015C1" w:rsidRPr="006015C1">
        <w:t>sensible geographies</w:t>
      </w:r>
      <w:r>
        <w:t>’</w:t>
      </w:r>
      <w:r w:rsidR="006015C1" w:rsidRPr="006015C1">
        <w:t>.</w:t>
      </w:r>
    </w:p>
    <w:p w14:paraId="396295C6" w14:textId="77777777" w:rsidR="006015C1" w:rsidRPr="006015C1" w:rsidRDefault="006015C1" w:rsidP="006015C1">
      <w:pPr>
        <w:spacing w:after="0" w:line="240" w:lineRule="auto"/>
      </w:pPr>
      <w:r w:rsidRPr="006015C1">
        <w:t>Sensible geographies should:</w:t>
      </w:r>
    </w:p>
    <w:p w14:paraId="61AEE0B2" w14:textId="77777777" w:rsidR="006015C1" w:rsidRPr="006015C1" w:rsidRDefault="006015C1" w:rsidP="006015C1">
      <w:pPr>
        <w:spacing w:after="0" w:line="240" w:lineRule="auto"/>
      </w:pPr>
    </w:p>
    <w:p w14:paraId="1618959D" w14:textId="77777777" w:rsidR="006015C1" w:rsidRPr="006015C1" w:rsidRDefault="006015C1" w:rsidP="006015C1">
      <w:pPr>
        <w:numPr>
          <w:ilvl w:val="0"/>
          <w:numId w:val="58"/>
        </w:numPr>
        <w:spacing w:after="0" w:line="240" w:lineRule="auto"/>
      </w:pPr>
      <w:r w:rsidRPr="006015C1">
        <w:t xml:space="preserve">reflect real communities and lived experience, not administrative convenience </w:t>
      </w:r>
    </w:p>
    <w:p w14:paraId="483062DB" w14:textId="77777777" w:rsidR="006015C1" w:rsidRPr="006015C1" w:rsidRDefault="006015C1" w:rsidP="006015C1">
      <w:pPr>
        <w:numPr>
          <w:ilvl w:val="0"/>
          <w:numId w:val="58"/>
        </w:numPr>
        <w:spacing w:after="0" w:line="240" w:lineRule="auto"/>
      </w:pPr>
      <w:r w:rsidRPr="006015C1">
        <w:t xml:space="preserve">align with how residents access services such as health, education, transport and employment </w:t>
      </w:r>
    </w:p>
    <w:p w14:paraId="034D3597" w14:textId="77777777" w:rsidR="006015C1" w:rsidRPr="006015C1" w:rsidRDefault="006015C1" w:rsidP="006015C1">
      <w:pPr>
        <w:numPr>
          <w:ilvl w:val="0"/>
          <w:numId w:val="58"/>
        </w:numPr>
        <w:spacing w:after="0" w:line="240" w:lineRule="auto"/>
      </w:pPr>
      <w:r w:rsidRPr="006015C1">
        <w:t xml:space="preserve">recognise the distinct characteristics of urban, peri-urban and rural areas </w:t>
      </w:r>
    </w:p>
    <w:p w14:paraId="440DA704" w14:textId="77777777" w:rsidR="006015C1" w:rsidRPr="006015C1" w:rsidRDefault="006015C1" w:rsidP="006015C1">
      <w:pPr>
        <w:numPr>
          <w:ilvl w:val="0"/>
          <w:numId w:val="58"/>
        </w:numPr>
        <w:spacing w:after="0" w:line="240" w:lineRule="auto"/>
      </w:pPr>
      <w:r w:rsidRPr="006015C1">
        <w:t xml:space="preserve">maintain coherent community identities, avoiding fragmentation </w:t>
      </w:r>
    </w:p>
    <w:p w14:paraId="48D07DB3" w14:textId="77777777" w:rsidR="006015C1" w:rsidRPr="006015C1" w:rsidRDefault="006015C1" w:rsidP="006015C1">
      <w:pPr>
        <w:spacing w:after="0" w:line="240" w:lineRule="auto"/>
      </w:pPr>
    </w:p>
    <w:p w14:paraId="5ACD1108" w14:textId="0CEF0647" w:rsidR="006015C1" w:rsidRPr="006015C1" w:rsidRDefault="006015C1" w:rsidP="006015C1">
      <w:pPr>
        <w:spacing w:after="0" w:line="240" w:lineRule="auto"/>
      </w:pPr>
      <w:r w:rsidRPr="006015C1">
        <w:t>There is strong concern within the sector that:</w:t>
      </w:r>
    </w:p>
    <w:p w14:paraId="39A45A18" w14:textId="77777777" w:rsidR="006015C1" w:rsidRPr="006015C1" w:rsidRDefault="006015C1" w:rsidP="006015C1">
      <w:pPr>
        <w:spacing w:after="0" w:line="240" w:lineRule="auto"/>
      </w:pPr>
    </w:p>
    <w:p w14:paraId="081342D1" w14:textId="77777777" w:rsidR="006015C1" w:rsidRPr="006015C1" w:rsidRDefault="006015C1" w:rsidP="006015C1">
      <w:pPr>
        <w:numPr>
          <w:ilvl w:val="0"/>
          <w:numId w:val="59"/>
        </w:numPr>
        <w:spacing w:after="0" w:line="240" w:lineRule="auto"/>
      </w:pPr>
      <w:r w:rsidRPr="006015C1">
        <w:t xml:space="preserve">artificial or imposed boundaries risk disconnecting communities from services and decision-making </w:t>
      </w:r>
    </w:p>
    <w:p w14:paraId="65F6F668" w14:textId="77777777" w:rsidR="006015C1" w:rsidRPr="006015C1" w:rsidRDefault="006015C1" w:rsidP="006015C1">
      <w:pPr>
        <w:numPr>
          <w:ilvl w:val="0"/>
          <w:numId w:val="59"/>
        </w:numPr>
        <w:spacing w:after="0" w:line="240" w:lineRule="auto"/>
      </w:pPr>
      <w:r w:rsidRPr="006015C1">
        <w:t xml:space="preserve">rural areas may be grouped in ways that do not reflect geography, infrastructure or economic relationships </w:t>
      </w:r>
    </w:p>
    <w:p w14:paraId="1DDAF23A" w14:textId="77777777" w:rsidR="006015C1" w:rsidRPr="006015C1" w:rsidRDefault="006015C1" w:rsidP="006015C1">
      <w:pPr>
        <w:spacing w:after="0" w:line="240" w:lineRule="auto"/>
      </w:pPr>
    </w:p>
    <w:p w14:paraId="4E57F39C" w14:textId="71211978" w:rsidR="006015C1" w:rsidRPr="006015C1" w:rsidRDefault="006015C1" w:rsidP="006015C1">
      <w:pPr>
        <w:spacing w:after="0" w:line="240" w:lineRule="auto"/>
      </w:pPr>
      <w:r w:rsidRPr="006015C1">
        <w:t>This principle applies equally to:</w:t>
      </w:r>
    </w:p>
    <w:p w14:paraId="46397587" w14:textId="77777777" w:rsidR="006015C1" w:rsidRPr="006015C1" w:rsidRDefault="006015C1" w:rsidP="006015C1">
      <w:pPr>
        <w:spacing w:after="0" w:line="240" w:lineRule="auto"/>
      </w:pPr>
    </w:p>
    <w:p w14:paraId="1F297CDE" w14:textId="77777777" w:rsidR="006015C1" w:rsidRPr="006015C1" w:rsidRDefault="006015C1" w:rsidP="006015C1">
      <w:pPr>
        <w:numPr>
          <w:ilvl w:val="0"/>
          <w:numId w:val="60"/>
        </w:numPr>
        <w:spacing w:after="0" w:line="240" w:lineRule="auto"/>
      </w:pPr>
      <w:r w:rsidRPr="006015C1">
        <w:t xml:space="preserve">unitary authority boundaries, and </w:t>
      </w:r>
    </w:p>
    <w:p w14:paraId="15A81848" w14:textId="77777777" w:rsidR="006015C1" w:rsidRPr="006015C1" w:rsidRDefault="006015C1" w:rsidP="006015C1">
      <w:pPr>
        <w:numPr>
          <w:ilvl w:val="0"/>
          <w:numId w:val="60"/>
        </w:numPr>
        <w:spacing w:after="0" w:line="240" w:lineRule="auto"/>
      </w:pPr>
      <w:r w:rsidRPr="006015C1">
        <w:t xml:space="preserve">neighbourhood partnership arrangements </w:t>
      </w:r>
    </w:p>
    <w:p w14:paraId="3669EAA4" w14:textId="77777777" w:rsidR="006015C1" w:rsidRPr="006015C1" w:rsidRDefault="006015C1" w:rsidP="006015C1">
      <w:pPr>
        <w:spacing w:after="0" w:line="240" w:lineRule="auto"/>
      </w:pPr>
    </w:p>
    <w:p w14:paraId="6CB84E81" w14:textId="255E86E6" w:rsidR="006015C1" w:rsidRPr="006015C1" w:rsidRDefault="006015C1" w:rsidP="006015C1">
      <w:pPr>
        <w:spacing w:after="0" w:line="240" w:lineRule="auto"/>
      </w:pPr>
      <w:r w:rsidRPr="006015C1">
        <w:lastRenderedPageBreak/>
        <w:t>Parish and town councils should be extensively and meaningfully consulted in shaping both. Without this, there is a significant risk that new structures fail to reflect how communities actually function.</w:t>
      </w:r>
    </w:p>
    <w:p w14:paraId="75A8AE96" w14:textId="185B5B30" w:rsidR="006015C1" w:rsidRPr="006015C1" w:rsidRDefault="006015C1" w:rsidP="006015C1">
      <w:pPr>
        <w:spacing w:after="0" w:line="240" w:lineRule="auto"/>
      </w:pPr>
    </w:p>
    <w:p w14:paraId="633E96EB" w14:textId="77777777" w:rsidR="006015C1" w:rsidRPr="006015C1" w:rsidRDefault="006015C1" w:rsidP="006015C1">
      <w:pPr>
        <w:spacing w:after="0" w:line="240" w:lineRule="auto"/>
        <w:rPr>
          <w:b/>
          <w:bCs/>
        </w:rPr>
      </w:pPr>
      <w:r w:rsidRPr="006015C1">
        <w:rPr>
          <w:b/>
          <w:bCs/>
        </w:rPr>
        <w:t>B. Delivery, Scale and Sustainability (Q2, Q3, Q4)</w:t>
      </w:r>
    </w:p>
    <w:p w14:paraId="60725868" w14:textId="77777777" w:rsidR="006015C1" w:rsidRDefault="006015C1" w:rsidP="006015C1">
      <w:pPr>
        <w:spacing w:after="0" w:line="240" w:lineRule="auto"/>
      </w:pPr>
    </w:p>
    <w:p w14:paraId="73309AE5" w14:textId="6C6815F1" w:rsidR="006015C1" w:rsidRPr="006015C1" w:rsidRDefault="006238CC" w:rsidP="006015C1">
      <w:pPr>
        <w:spacing w:after="0" w:line="240" w:lineRule="auto"/>
      </w:pPr>
      <w:r w:rsidRPr="006238CC">
        <w:t>A single unitary provides the clearest opportunity for consistency and efficiency, if</w:t>
      </w:r>
      <w:r>
        <w:t xml:space="preserve"> the delivery of </w:t>
      </w:r>
      <w:r w:rsidR="006015C1" w:rsidRPr="006015C1">
        <w:t xml:space="preserve">outcomes </w:t>
      </w:r>
      <w:r w:rsidR="001A271D">
        <w:t>in grounded in</w:t>
      </w:r>
      <w:r w:rsidR="006015C1" w:rsidRPr="006015C1">
        <w:t xml:space="preserve"> financial sustainability, capacity and realistic transition planning.</w:t>
      </w:r>
    </w:p>
    <w:p w14:paraId="7A0B2C6C" w14:textId="77777777" w:rsidR="006015C1" w:rsidRDefault="006015C1" w:rsidP="006015C1">
      <w:pPr>
        <w:spacing w:after="0" w:line="240" w:lineRule="auto"/>
        <w:rPr>
          <w:b/>
          <w:bCs/>
        </w:rPr>
      </w:pPr>
    </w:p>
    <w:p w14:paraId="2AB3481E" w14:textId="1DB669F2" w:rsidR="006015C1" w:rsidRPr="006015C1" w:rsidRDefault="006015C1" w:rsidP="006015C1">
      <w:pPr>
        <w:spacing w:after="0" w:line="240" w:lineRule="auto"/>
        <w:rPr>
          <w:b/>
          <w:bCs/>
        </w:rPr>
      </w:pPr>
      <w:r w:rsidRPr="006015C1">
        <w:rPr>
          <w:b/>
          <w:bCs/>
        </w:rPr>
        <w:t>Financial sustainability</w:t>
      </w:r>
    </w:p>
    <w:p w14:paraId="2DFC2FFE" w14:textId="0F1F0FE0" w:rsidR="006015C1" w:rsidRDefault="006015C1" w:rsidP="006015C1">
      <w:pPr>
        <w:spacing w:after="0" w:line="240" w:lineRule="auto"/>
      </w:pPr>
      <w:r w:rsidRPr="006015C1">
        <w:t>Evidence from Gloucestershire councils is clear:</w:t>
      </w:r>
    </w:p>
    <w:p w14:paraId="289A7431" w14:textId="77777777" w:rsidR="00AC383A" w:rsidRPr="006015C1" w:rsidRDefault="00AC383A" w:rsidP="006015C1">
      <w:pPr>
        <w:spacing w:after="0" w:line="240" w:lineRule="auto"/>
      </w:pPr>
    </w:p>
    <w:p w14:paraId="1A0AD708" w14:textId="77777777" w:rsidR="006015C1" w:rsidRPr="006015C1" w:rsidRDefault="006015C1" w:rsidP="006015C1">
      <w:pPr>
        <w:numPr>
          <w:ilvl w:val="0"/>
          <w:numId w:val="61"/>
        </w:numPr>
        <w:spacing w:after="0" w:line="240" w:lineRule="auto"/>
      </w:pPr>
      <w:r w:rsidRPr="006015C1">
        <w:t xml:space="preserve">there is no mandate for unfunded devolution </w:t>
      </w:r>
    </w:p>
    <w:p w14:paraId="2CE80521" w14:textId="77777777" w:rsidR="006015C1" w:rsidRPr="006015C1" w:rsidRDefault="006015C1" w:rsidP="006015C1">
      <w:pPr>
        <w:numPr>
          <w:ilvl w:val="0"/>
          <w:numId w:val="61"/>
        </w:numPr>
        <w:spacing w:after="0" w:line="240" w:lineRule="auto"/>
      </w:pPr>
      <w:r w:rsidRPr="006015C1">
        <w:t xml:space="preserve">additional responsibilities must be accompanied by long-term, sustainable funding </w:t>
      </w:r>
    </w:p>
    <w:p w14:paraId="64C6C14D" w14:textId="77777777" w:rsidR="006015C1" w:rsidRPr="006015C1" w:rsidRDefault="006015C1" w:rsidP="006015C1">
      <w:pPr>
        <w:spacing w:after="0" w:line="240" w:lineRule="auto"/>
      </w:pPr>
    </w:p>
    <w:p w14:paraId="5C1997CE" w14:textId="3EC9F4F2" w:rsidR="006015C1" w:rsidRDefault="006015C1" w:rsidP="006015C1">
      <w:pPr>
        <w:spacing w:after="0" w:line="240" w:lineRule="auto"/>
      </w:pPr>
      <w:r w:rsidRPr="006015C1">
        <w:t>Parish and town councils:</w:t>
      </w:r>
    </w:p>
    <w:p w14:paraId="7B591AD6" w14:textId="77777777" w:rsidR="00AC383A" w:rsidRPr="006015C1" w:rsidRDefault="00AC383A" w:rsidP="006015C1">
      <w:pPr>
        <w:spacing w:after="0" w:line="240" w:lineRule="auto"/>
      </w:pPr>
    </w:p>
    <w:p w14:paraId="5CE1AB5A" w14:textId="77777777" w:rsidR="006015C1" w:rsidRPr="006015C1" w:rsidRDefault="006015C1" w:rsidP="006015C1">
      <w:pPr>
        <w:numPr>
          <w:ilvl w:val="0"/>
          <w:numId w:val="62"/>
        </w:numPr>
        <w:spacing w:after="0" w:line="240" w:lineRule="auto"/>
      </w:pPr>
      <w:r w:rsidRPr="006015C1">
        <w:t xml:space="preserve">rely primarily on the precept </w:t>
      </w:r>
    </w:p>
    <w:p w14:paraId="58777CA7" w14:textId="77777777" w:rsidR="006015C1" w:rsidRPr="006015C1" w:rsidRDefault="006015C1" w:rsidP="006015C1">
      <w:pPr>
        <w:numPr>
          <w:ilvl w:val="0"/>
          <w:numId w:val="62"/>
        </w:numPr>
        <w:spacing w:after="0" w:line="240" w:lineRule="auto"/>
      </w:pPr>
      <w:r w:rsidRPr="006015C1">
        <w:t xml:space="preserve">do not receive revenue support grant or equivalent funding streams available to principal authorities </w:t>
      </w:r>
    </w:p>
    <w:p w14:paraId="7146AF10" w14:textId="77777777" w:rsidR="006015C1" w:rsidRPr="006015C1" w:rsidRDefault="006015C1" w:rsidP="006015C1">
      <w:pPr>
        <w:spacing w:after="0" w:line="240" w:lineRule="auto"/>
      </w:pPr>
    </w:p>
    <w:p w14:paraId="7AF5EE27" w14:textId="37F29B90" w:rsidR="006015C1" w:rsidRDefault="006015C1" w:rsidP="006015C1">
      <w:pPr>
        <w:spacing w:after="0" w:line="240" w:lineRule="auto"/>
      </w:pPr>
      <w:r w:rsidRPr="006015C1">
        <w:t>Transferring services without funding would:</w:t>
      </w:r>
    </w:p>
    <w:p w14:paraId="319F93B3" w14:textId="77777777" w:rsidR="00AC383A" w:rsidRPr="006015C1" w:rsidRDefault="00AC383A" w:rsidP="006015C1">
      <w:pPr>
        <w:spacing w:after="0" w:line="240" w:lineRule="auto"/>
      </w:pPr>
    </w:p>
    <w:p w14:paraId="47BE460E" w14:textId="77777777" w:rsidR="006015C1" w:rsidRPr="006015C1" w:rsidRDefault="006015C1" w:rsidP="006015C1">
      <w:pPr>
        <w:numPr>
          <w:ilvl w:val="0"/>
          <w:numId w:val="63"/>
        </w:numPr>
        <w:spacing w:after="0" w:line="240" w:lineRule="auto"/>
      </w:pPr>
      <w:r w:rsidRPr="006015C1">
        <w:t xml:space="preserve">place unsustainable pressure on local councils </w:t>
      </w:r>
    </w:p>
    <w:p w14:paraId="69925289" w14:textId="77777777" w:rsidR="006015C1" w:rsidRPr="006015C1" w:rsidRDefault="006015C1" w:rsidP="006015C1">
      <w:pPr>
        <w:numPr>
          <w:ilvl w:val="0"/>
          <w:numId w:val="63"/>
        </w:numPr>
        <w:spacing w:after="0" w:line="240" w:lineRule="auto"/>
      </w:pPr>
      <w:r w:rsidRPr="006015C1">
        <w:t xml:space="preserve">lead to increased precepts for residents </w:t>
      </w:r>
    </w:p>
    <w:p w14:paraId="2D754E9A" w14:textId="77777777" w:rsidR="006015C1" w:rsidRPr="006015C1" w:rsidRDefault="006015C1" w:rsidP="006015C1">
      <w:pPr>
        <w:numPr>
          <w:ilvl w:val="0"/>
          <w:numId w:val="63"/>
        </w:numPr>
        <w:spacing w:after="0" w:line="240" w:lineRule="auto"/>
      </w:pPr>
      <w:r w:rsidRPr="006015C1">
        <w:t xml:space="preserve">risk creating inequity and double taxation </w:t>
      </w:r>
    </w:p>
    <w:p w14:paraId="67681833" w14:textId="77777777" w:rsidR="006015C1" w:rsidRPr="006015C1" w:rsidRDefault="006015C1" w:rsidP="006015C1">
      <w:pPr>
        <w:spacing w:after="0" w:line="240" w:lineRule="auto"/>
      </w:pPr>
    </w:p>
    <w:p w14:paraId="085534F4" w14:textId="3FB6EB27" w:rsidR="006015C1" w:rsidRDefault="006015C1" w:rsidP="006015C1">
      <w:pPr>
        <w:spacing w:after="0" w:line="240" w:lineRule="auto"/>
      </w:pPr>
      <w:r w:rsidRPr="006015C1">
        <w:t>Any devolution of services or assets must therefore be:</w:t>
      </w:r>
    </w:p>
    <w:p w14:paraId="4E58A42D" w14:textId="77777777" w:rsidR="00AC383A" w:rsidRPr="006015C1" w:rsidRDefault="00AC383A" w:rsidP="006015C1">
      <w:pPr>
        <w:spacing w:after="0" w:line="240" w:lineRule="auto"/>
      </w:pPr>
    </w:p>
    <w:p w14:paraId="47DD214C" w14:textId="77777777" w:rsidR="006015C1" w:rsidRPr="006015C1" w:rsidRDefault="006015C1" w:rsidP="006015C1">
      <w:pPr>
        <w:numPr>
          <w:ilvl w:val="0"/>
          <w:numId w:val="64"/>
        </w:numPr>
        <w:spacing w:after="0" w:line="240" w:lineRule="auto"/>
      </w:pPr>
      <w:r w:rsidRPr="006015C1">
        <w:t xml:space="preserve">fully funded, not reliant on local taxation </w:t>
      </w:r>
    </w:p>
    <w:p w14:paraId="09534458" w14:textId="77777777" w:rsidR="006015C1" w:rsidRPr="006015C1" w:rsidRDefault="006015C1" w:rsidP="006015C1">
      <w:pPr>
        <w:numPr>
          <w:ilvl w:val="0"/>
          <w:numId w:val="64"/>
        </w:numPr>
        <w:spacing w:after="0" w:line="240" w:lineRule="auto"/>
      </w:pPr>
      <w:r w:rsidRPr="006015C1">
        <w:t xml:space="preserve">supported by clear financial frameworks </w:t>
      </w:r>
    </w:p>
    <w:p w14:paraId="5A718E60" w14:textId="77777777" w:rsidR="006015C1" w:rsidRPr="006015C1" w:rsidRDefault="006015C1" w:rsidP="006015C1">
      <w:pPr>
        <w:numPr>
          <w:ilvl w:val="0"/>
          <w:numId w:val="64"/>
        </w:numPr>
        <w:spacing w:after="0" w:line="240" w:lineRule="auto"/>
      </w:pPr>
      <w:r w:rsidRPr="006015C1">
        <w:t xml:space="preserve">sustainable beyond the transition period </w:t>
      </w:r>
    </w:p>
    <w:p w14:paraId="6FFE16F2" w14:textId="77777777" w:rsidR="006015C1" w:rsidRDefault="006015C1" w:rsidP="006015C1">
      <w:pPr>
        <w:spacing w:after="0" w:line="240" w:lineRule="auto"/>
        <w:rPr>
          <w:b/>
          <w:bCs/>
        </w:rPr>
      </w:pPr>
    </w:p>
    <w:p w14:paraId="516FF1BC" w14:textId="1F753EFC" w:rsidR="006015C1" w:rsidRPr="006015C1" w:rsidRDefault="006015C1" w:rsidP="006015C1">
      <w:pPr>
        <w:spacing w:after="0" w:line="240" w:lineRule="auto"/>
        <w:rPr>
          <w:b/>
          <w:bCs/>
        </w:rPr>
      </w:pPr>
      <w:r w:rsidRPr="006015C1">
        <w:rPr>
          <w:b/>
          <w:bCs/>
        </w:rPr>
        <w:t>Capacity and workforce</w:t>
      </w:r>
    </w:p>
    <w:p w14:paraId="4E99929C" w14:textId="68712957" w:rsidR="006015C1" w:rsidRDefault="006015C1" w:rsidP="006015C1">
      <w:pPr>
        <w:spacing w:after="0" w:line="240" w:lineRule="auto"/>
      </w:pPr>
      <w:r w:rsidRPr="006015C1">
        <w:t>There is significant variation across the sector:</w:t>
      </w:r>
    </w:p>
    <w:p w14:paraId="61800FEE" w14:textId="77777777" w:rsidR="00AC383A" w:rsidRPr="006015C1" w:rsidRDefault="00AC383A" w:rsidP="006015C1">
      <w:pPr>
        <w:spacing w:after="0" w:line="240" w:lineRule="auto"/>
      </w:pPr>
    </w:p>
    <w:p w14:paraId="749A584A" w14:textId="77777777" w:rsidR="006015C1" w:rsidRPr="006015C1" w:rsidRDefault="006015C1" w:rsidP="006015C1">
      <w:pPr>
        <w:numPr>
          <w:ilvl w:val="0"/>
          <w:numId w:val="65"/>
        </w:numPr>
        <w:spacing w:after="0" w:line="240" w:lineRule="auto"/>
      </w:pPr>
      <w:r w:rsidRPr="006015C1">
        <w:t xml:space="preserve">larger councils may have the staffing and infrastructure to expand </w:t>
      </w:r>
    </w:p>
    <w:p w14:paraId="603A051E" w14:textId="77777777" w:rsidR="006015C1" w:rsidRPr="006015C1" w:rsidRDefault="006015C1" w:rsidP="006015C1">
      <w:pPr>
        <w:numPr>
          <w:ilvl w:val="0"/>
          <w:numId w:val="65"/>
        </w:numPr>
        <w:spacing w:after="0" w:line="240" w:lineRule="auto"/>
      </w:pPr>
      <w:r w:rsidRPr="006015C1">
        <w:t xml:space="preserve">many smaller councils, particularly in rural areas, operate with limited capacity </w:t>
      </w:r>
    </w:p>
    <w:p w14:paraId="2D396D33" w14:textId="77777777" w:rsidR="00EB5F5E" w:rsidRDefault="00EB5F5E" w:rsidP="006015C1">
      <w:pPr>
        <w:spacing w:after="0" w:line="240" w:lineRule="auto"/>
      </w:pPr>
    </w:p>
    <w:p w14:paraId="2CE34204" w14:textId="7434EB72" w:rsidR="006015C1" w:rsidRPr="006015C1" w:rsidRDefault="006015C1" w:rsidP="006015C1">
      <w:pPr>
        <w:spacing w:after="0" w:line="240" w:lineRule="auto"/>
      </w:pPr>
      <w:r w:rsidRPr="006015C1">
        <w:t>Over half of councils responding to GAPTC’s survey indicated they could not take on additional responsibilities without substantial support.</w:t>
      </w:r>
    </w:p>
    <w:p w14:paraId="10C9170D" w14:textId="77777777" w:rsidR="00EB5F5E" w:rsidRDefault="00EB5F5E" w:rsidP="006015C1">
      <w:pPr>
        <w:spacing w:after="0" w:line="240" w:lineRule="auto"/>
      </w:pPr>
    </w:p>
    <w:p w14:paraId="25685F6F" w14:textId="6AA681A9" w:rsidR="006015C1" w:rsidRPr="006015C1" w:rsidRDefault="006015C1" w:rsidP="006015C1">
      <w:pPr>
        <w:spacing w:after="0" w:line="240" w:lineRule="auto"/>
      </w:pPr>
      <w:r w:rsidRPr="006015C1">
        <w:t>Any model must:</w:t>
      </w:r>
    </w:p>
    <w:p w14:paraId="3021DFD8" w14:textId="77777777" w:rsidR="006015C1" w:rsidRPr="006015C1" w:rsidRDefault="006015C1" w:rsidP="006015C1">
      <w:pPr>
        <w:numPr>
          <w:ilvl w:val="0"/>
          <w:numId w:val="66"/>
        </w:numPr>
        <w:spacing w:after="0" w:line="240" w:lineRule="auto"/>
      </w:pPr>
      <w:r w:rsidRPr="006015C1">
        <w:t xml:space="preserve">recognise this diversity </w:t>
      </w:r>
    </w:p>
    <w:p w14:paraId="1E9535FD" w14:textId="77777777" w:rsidR="006015C1" w:rsidRPr="006015C1" w:rsidRDefault="006015C1" w:rsidP="006015C1">
      <w:pPr>
        <w:numPr>
          <w:ilvl w:val="0"/>
          <w:numId w:val="66"/>
        </w:numPr>
        <w:spacing w:after="0" w:line="240" w:lineRule="auto"/>
      </w:pPr>
      <w:r w:rsidRPr="006015C1">
        <w:t xml:space="preserve">avoid a one-size-fits-all approach </w:t>
      </w:r>
    </w:p>
    <w:p w14:paraId="5D45008D" w14:textId="77777777" w:rsidR="006015C1" w:rsidRPr="006015C1" w:rsidRDefault="006015C1" w:rsidP="006015C1">
      <w:pPr>
        <w:numPr>
          <w:ilvl w:val="0"/>
          <w:numId w:val="66"/>
        </w:numPr>
        <w:spacing w:after="0" w:line="240" w:lineRule="auto"/>
      </w:pPr>
      <w:r w:rsidRPr="006015C1">
        <w:t xml:space="preserve">provide appropriate support, training and resourcing </w:t>
      </w:r>
    </w:p>
    <w:p w14:paraId="2A83A9C8" w14:textId="77777777" w:rsidR="00EB5F5E" w:rsidRDefault="00EB5F5E" w:rsidP="006015C1">
      <w:pPr>
        <w:spacing w:after="0" w:line="240" w:lineRule="auto"/>
        <w:rPr>
          <w:b/>
          <w:bCs/>
        </w:rPr>
      </w:pPr>
    </w:p>
    <w:p w14:paraId="3B3312AA" w14:textId="2D86E172" w:rsidR="006015C1" w:rsidRPr="006015C1" w:rsidRDefault="006015C1" w:rsidP="006015C1">
      <w:pPr>
        <w:spacing w:after="0" w:line="240" w:lineRule="auto"/>
        <w:rPr>
          <w:b/>
          <w:bCs/>
        </w:rPr>
      </w:pPr>
      <w:r w:rsidRPr="006015C1">
        <w:rPr>
          <w:b/>
          <w:bCs/>
        </w:rPr>
        <w:t>Transition and delivery realism</w:t>
      </w:r>
    </w:p>
    <w:p w14:paraId="315FDDBF" w14:textId="29024F63" w:rsidR="006015C1" w:rsidRDefault="006015C1" w:rsidP="006015C1">
      <w:pPr>
        <w:spacing w:after="0" w:line="240" w:lineRule="auto"/>
      </w:pPr>
      <w:r w:rsidRPr="006015C1">
        <w:t>Reorganisation presents risks to:</w:t>
      </w:r>
    </w:p>
    <w:p w14:paraId="62C7877C" w14:textId="77777777" w:rsidR="00AC383A" w:rsidRPr="006015C1" w:rsidRDefault="00AC383A" w:rsidP="006015C1">
      <w:pPr>
        <w:spacing w:after="0" w:line="240" w:lineRule="auto"/>
      </w:pPr>
    </w:p>
    <w:p w14:paraId="45CAC7FF" w14:textId="77777777" w:rsidR="006015C1" w:rsidRPr="006015C1" w:rsidRDefault="006015C1" w:rsidP="006015C1">
      <w:pPr>
        <w:numPr>
          <w:ilvl w:val="0"/>
          <w:numId w:val="67"/>
        </w:numPr>
        <w:spacing w:after="0" w:line="240" w:lineRule="auto"/>
      </w:pPr>
      <w:r w:rsidRPr="006015C1">
        <w:t xml:space="preserve">planning and enforcement </w:t>
      </w:r>
    </w:p>
    <w:p w14:paraId="0F6752CA" w14:textId="77777777" w:rsidR="006015C1" w:rsidRPr="006015C1" w:rsidRDefault="006015C1" w:rsidP="006015C1">
      <w:pPr>
        <w:numPr>
          <w:ilvl w:val="0"/>
          <w:numId w:val="67"/>
        </w:numPr>
        <w:spacing w:after="0" w:line="240" w:lineRule="auto"/>
      </w:pPr>
      <w:r w:rsidRPr="006015C1">
        <w:t xml:space="preserve">highways and infrastructure services </w:t>
      </w:r>
    </w:p>
    <w:p w14:paraId="09DFB7FF" w14:textId="77777777" w:rsidR="006015C1" w:rsidRPr="006015C1" w:rsidRDefault="006015C1" w:rsidP="006015C1">
      <w:pPr>
        <w:numPr>
          <w:ilvl w:val="0"/>
          <w:numId w:val="67"/>
        </w:numPr>
        <w:spacing w:after="0" w:line="240" w:lineRule="auto"/>
      </w:pPr>
      <w:r w:rsidRPr="006015C1">
        <w:t xml:space="preserve">local responsiveness and access to officers </w:t>
      </w:r>
    </w:p>
    <w:p w14:paraId="7FCE2283" w14:textId="77777777" w:rsidR="00EB5F5E" w:rsidRDefault="00EB5F5E" w:rsidP="006015C1">
      <w:pPr>
        <w:spacing w:after="0" w:line="240" w:lineRule="auto"/>
      </w:pPr>
    </w:p>
    <w:p w14:paraId="66A27658" w14:textId="18152F8E" w:rsidR="006015C1" w:rsidRDefault="006015C1" w:rsidP="006015C1">
      <w:pPr>
        <w:spacing w:after="0" w:line="240" w:lineRule="auto"/>
      </w:pPr>
      <w:r w:rsidRPr="006015C1">
        <w:t>There is concern that:</w:t>
      </w:r>
    </w:p>
    <w:p w14:paraId="39AE83B1" w14:textId="77777777" w:rsidR="00AC383A" w:rsidRPr="006015C1" w:rsidRDefault="00AC383A" w:rsidP="006015C1">
      <w:pPr>
        <w:spacing w:after="0" w:line="240" w:lineRule="auto"/>
      </w:pPr>
    </w:p>
    <w:p w14:paraId="01A2FD77" w14:textId="77777777" w:rsidR="006015C1" w:rsidRPr="006015C1" w:rsidRDefault="006015C1" w:rsidP="006015C1">
      <w:pPr>
        <w:numPr>
          <w:ilvl w:val="0"/>
          <w:numId w:val="68"/>
        </w:numPr>
        <w:spacing w:after="0" w:line="240" w:lineRule="auto"/>
      </w:pPr>
      <w:r w:rsidRPr="006015C1">
        <w:t xml:space="preserve">over-centralisation may reduce accessibility and responsiveness </w:t>
      </w:r>
    </w:p>
    <w:p w14:paraId="64E27C7E" w14:textId="77777777" w:rsidR="006015C1" w:rsidRPr="006015C1" w:rsidRDefault="006015C1" w:rsidP="006015C1">
      <w:pPr>
        <w:numPr>
          <w:ilvl w:val="0"/>
          <w:numId w:val="68"/>
        </w:numPr>
        <w:spacing w:after="0" w:line="240" w:lineRule="auto"/>
      </w:pPr>
      <w:r w:rsidRPr="006015C1">
        <w:t xml:space="preserve">institutional knowledge may be lost during transition </w:t>
      </w:r>
    </w:p>
    <w:p w14:paraId="5FCEEBCD" w14:textId="77777777" w:rsidR="006015C1" w:rsidRPr="006015C1" w:rsidRDefault="006015C1" w:rsidP="006015C1">
      <w:pPr>
        <w:numPr>
          <w:ilvl w:val="0"/>
          <w:numId w:val="68"/>
        </w:numPr>
        <w:spacing w:after="0" w:line="240" w:lineRule="auto"/>
      </w:pPr>
      <w:r w:rsidRPr="006015C1">
        <w:t xml:space="preserve">services most valued locally may be weakened </w:t>
      </w:r>
    </w:p>
    <w:p w14:paraId="360653AA" w14:textId="77777777" w:rsidR="00EB5F5E" w:rsidRDefault="00EB5F5E" w:rsidP="006015C1">
      <w:pPr>
        <w:spacing w:after="0" w:line="240" w:lineRule="auto"/>
      </w:pPr>
    </w:p>
    <w:p w14:paraId="203910B5" w14:textId="220F0A2E" w:rsidR="006015C1" w:rsidRDefault="006015C1" w:rsidP="006015C1">
      <w:pPr>
        <w:spacing w:after="0" w:line="240" w:lineRule="auto"/>
      </w:pPr>
      <w:r w:rsidRPr="006015C1">
        <w:t>Delivery success will depend on:</w:t>
      </w:r>
    </w:p>
    <w:p w14:paraId="2FA682E1" w14:textId="77777777" w:rsidR="00AC383A" w:rsidRPr="006015C1" w:rsidRDefault="00AC383A" w:rsidP="006015C1">
      <w:pPr>
        <w:spacing w:after="0" w:line="240" w:lineRule="auto"/>
      </w:pPr>
    </w:p>
    <w:p w14:paraId="4842C58C" w14:textId="77777777" w:rsidR="006015C1" w:rsidRPr="006015C1" w:rsidRDefault="006015C1" w:rsidP="006015C1">
      <w:pPr>
        <w:numPr>
          <w:ilvl w:val="0"/>
          <w:numId w:val="69"/>
        </w:numPr>
        <w:spacing w:after="0" w:line="240" w:lineRule="auto"/>
      </w:pPr>
      <w:r w:rsidRPr="006015C1">
        <w:t xml:space="preserve">retaining local knowledge and expertise </w:t>
      </w:r>
    </w:p>
    <w:p w14:paraId="44A164E0" w14:textId="77777777" w:rsidR="006015C1" w:rsidRPr="006015C1" w:rsidRDefault="006015C1" w:rsidP="006015C1">
      <w:pPr>
        <w:numPr>
          <w:ilvl w:val="0"/>
          <w:numId w:val="69"/>
        </w:numPr>
        <w:spacing w:after="0" w:line="240" w:lineRule="auto"/>
      </w:pPr>
      <w:r w:rsidRPr="006015C1">
        <w:t xml:space="preserve">maintaining accessible local service delivery </w:t>
      </w:r>
    </w:p>
    <w:p w14:paraId="7EA7B71E" w14:textId="77777777" w:rsidR="006015C1" w:rsidRPr="006015C1" w:rsidRDefault="006015C1" w:rsidP="006015C1">
      <w:pPr>
        <w:numPr>
          <w:ilvl w:val="0"/>
          <w:numId w:val="69"/>
        </w:numPr>
        <w:spacing w:after="0" w:line="240" w:lineRule="auto"/>
      </w:pPr>
      <w:r w:rsidRPr="006015C1">
        <w:t xml:space="preserve">ensuring continuity and clarity during transition </w:t>
      </w:r>
    </w:p>
    <w:p w14:paraId="032900A0" w14:textId="2BC46924" w:rsidR="006015C1" w:rsidRPr="006015C1" w:rsidRDefault="006015C1" w:rsidP="006015C1">
      <w:pPr>
        <w:spacing w:after="0" w:line="240" w:lineRule="auto"/>
      </w:pPr>
    </w:p>
    <w:p w14:paraId="57099E04" w14:textId="77777777" w:rsidR="006015C1" w:rsidRPr="006015C1" w:rsidRDefault="006015C1" w:rsidP="006015C1">
      <w:pPr>
        <w:spacing w:after="0" w:line="240" w:lineRule="auto"/>
        <w:rPr>
          <w:b/>
          <w:bCs/>
        </w:rPr>
      </w:pPr>
      <w:r w:rsidRPr="006015C1">
        <w:rPr>
          <w:b/>
          <w:bCs/>
        </w:rPr>
        <w:t>C. Local Voice and Engagement (Q5 &amp; Q7)</w:t>
      </w:r>
    </w:p>
    <w:p w14:paraId="53974CAE" w14:textId="77777777" w:rsidR="00AC383A" w:rsidRDefault="00AC383A" w:rsidP="006015C1">
      <w:pPr>
        <w:spacing w:after="0" w:line="240" w:lineRule="auto"/>
      </w:pPr>
    </w:p>
    <w:p w14:paraId="26FFD985" w14:textId="2823DC79" w:rsidR="006015C1" w:rsidRPr="006015C1" w:rsidRDefault="001A271D" w:rsidP="006015C1">
      <w:pPr>
        <w:spacing w:after="0" w:line="240" w:lineRule="auto"/>
      </w:pPr>
      <w:r w:rsidRPr="001A271D">
        <w:t>The risks associated with a single unitary</w:t>
      </w:r>
      <w:r>
        <w:t xml:space="preserve">, </w:t>
      </w:r>
      <w:r w:rsidRPr="001A271D">
        <w:t>particularly increased distance from decision-making</w:t>
      </w:r>
      <w:r>
        <w:t xml:space="preserve">, </w:t>
      </w:r>
      <w:r w:rsidRPr="001A271D">
        <w:t>make strong neighbourhood governance essential</w:t>
      </w:r>
      <w:r>
        <w:t xml:space="preserve">. </w:t>
      </w:r>
      <w:r w:rsidR="006015C1" w:rsidRPr="006015C1">
        <w:t>Parish and town councils are already the democratic infrastructure at neighbourhood level</w:t>
      </w:r>
      <w:r>
        <w:t xml:space="preserve"> and r</w:t>
      </w:r>
      <w:r w:rsidR="006015C1" w:rsidRPr="006015C1">
        <w:t>eorganisation must strengthen</w:t>
      </w:r>
      <w:r>
        <w:t xml:space="preserve">, </w:t>
      </w:r>
      <w:r w:rsidR="006015C1" w:rsidRPr="006015C1">
        <w:t>not duplicate or dilute</w:t>
      </w:r>
      <w:r>
        <w:t xml:space="preserve">, </w:t>
      </w:r>
      <w:r w:rsidR="006015C1" w:rsidRPr="006015C1">
        <w:t>this role.</w:t>
      </w:r>
    </w:p>
    <w:p w14:paraId="4ABD0D12" w14:textId="77777777" w:rsidR="00AC383A" w:rsidRPr="00AC383A" w:rsidRDefault="00AC383A" w:rsidP="006015C1">
      <w:pPr>
        <w:spacing w:after="0" w:line="240" w:lineRule="auto"/>
      </w:pPr>
    </w:p>
    <w:p w14:paraId="40489A89" w14:textId="6E659975" w:rsidR="006015C1" w:rsidRPr="006015C1" w:rsidRDefault="006015C1" w:rsidP="006015C1">
      <w:pPr>
        <w:spacing w:after="0" w:line="240" w:lineRule="auto"/>
        <w:rPr>
          <w:b/>
          <w:bCs/>
        </w:rPr>
      </w:pPr>
      <w:r w:rsidRPr="006015C1">
        <w:rPr>
          <w:b/>
          <w:bCs/>
        </w:rPr>
        <w:t>Consultation and local input</w:t>
      </w:r>
    </w:p>
    <w:p w14:paraId="3C5D3DBB" w14:textId="51AB5736" w:rsidR="006015C1" w:rsidRDefault="006015C1" w:rsidP="006015C1">
      <w:pPr>
        <w:spacing w:after="0" w:line="240" w:lineRule="auto"/>
      </w:pPr>
      <w:r w:rsidRPr="006015C1">
        <w:t>There are concerns across Gloucestershire that:</w:t>
      </w:r>
    </w:p>
    <w:p w14:paraId="3833167E" w14:textId="77777777" w:rsidR="00AC383A" w:rsidRPr="006015C1" w:rsidRDefault="00AC383A" w:rsidP="006015C1">
      <w:pPr>
        <w:spacing w:after="0" w:line="240" w:lineRule="auto"/>
      </w:pPr>
    </w:p>
    <w:p w14:paraId="6015FF1B" w14:textId="77777777" w:rsidR="006015C1" w:rsidRPr="006015C1" w:rsidRDefault="006015C1" w:rsidP="006015C1">
      <w:pPr>
        <w:numPr>
          <w:ilvl w:val="0"/>
          <w:numId w:val="70"/>
        </w:numPr>
        <w:spacing w:after="0" w:line="240" w:lineRule="auto"/>
      </w:pPr>
      <w:r w:rsidRPr="006015C1">
        <w:t xml:space="preserve">engagement to date has been limited </w:t>
      </w:r>
    </w:p>
    <w:p w14:paraId="46E89649" w14:textId="77777777" w:rsidR="006015C1" w:rsidRPr="006015C1" w:rsidRDefault="006015C1" w:rsidP="006015C1">
      <w:pPr>
        <w:numPr>
          <w:ilvl w:val="0"/>
          <w:numId w:val="70"/>
        </w:numPr>
        <w:spacing w:after="0" w:line="240" w:lineRule="auto"/>
      </w:pPr>
      <w:r w:rsidRPr="006015C1">
        <w:t xml:space="preserve">timescales have restricted meaningful participation </w:t>
      </w:r>
    </w:p>
    <w:p w14:paraId="63DA4270" w14:textId="77777777" w:rsidR="006015C1" w:rsidRPr="006015C1" w:rsidRDefault="006015C1" w:rsidP="006015C1">
      <w:pPr>
        <w:numPr>
          <w:ilvl w:val="0"/>
          <w:numId w:val="70"/>
        </w:numPr>
        <w:spacing w:after="0" w:line="240" w:lineRule="auto"/>
      </w:pPr>
      <w:r w:rsidRPr="006015C1">
        <w:t xml:space="preserve">there is insufficient clarity on how local views will influence outcomes </w:t>
      </w:r>
    </w:p>
    <w:p w14:paraId="089EEEC2" w14:textId="77777777" w:rsidR="00AC383A" w:rsidRPr="00AC383A" w:rsidRDefault="00AC383A" w:rsidP="006015C1">
      <w:pPr>
        <w:spacing w:after="0" w:line="240" w:lineRule="auto"/>
      </w:pPr>
    </w:p>
    <w:p w14:paraId="4733AD4F" w14:textId="155C1504" w:rsidR="006015C1" w:rsidRDefault="006015C1" w:rsidP="006015C1">
      <w:pPr>
        <w:spacing w:after="0" w:line="240" w:lineRule="auto"/>
      </w:pPr>
      <w:r w:rsidRPr="006015C1">
        <w:t>This creates a risk that:</w:t>
      </w:r>
    </w:p>
    <w:p w14:paraId="6C998FC6" w14:textId="77777777" w:rsidR="00AC383A" w:rsidRPr="006015C1" w:rsidRDefault="00AC383A" w:rsidP="006015C1">
      <w:pPr>
        <w:spacing w:after="0" w:line="240" w:lineRule="auto"/>
      </w:pPr>
    </w:p>
    <w:p w14:paraId="248C9BBF" w14:textId="77777777" w:rsidR="006015C1" w:rsidRPr="006015C1" w:rsidRDefault="006015C1" w:rsidP="006015C1">
      <w:pPr>
        <w:numPr>
          <w:ilvl w:val="0"/>
          <w:numId w:val="71"/>
        </w:numPr>
        <w:spacing w:after="0" w:line="240" w:lineRule="auto"/>
      </w:pPr>
      <w:r w:rsidRPr="006015C1">
        <w:t xml:space="preserve">proposals are not fully informed by local knowledge </w:t>
      </w:r>
    </w:p>
    <w:p w14:paraId="413FC561" w14:textId="77777777" w:rsidR="006015C1" w:rsidRPr="006015C1" w:rsidRDefault="006015C1" w:rsidP="006015C1">
      <w:pPr>
        <w:numPr>
          <w:ilvl w:val="0"/>
          <w:numId w:val="71"/>
        </w:numPr>
        <w:spacing w:after="0" w:line="240" w:lineRule="auto"/>
      </w:pPr>
      <w:r w:rsidRPr="006015C1">
        <w:t xml:space="preserve">communities feel disconnected from decision-making </w:t>
      </w:r>
    </w:p>
    <w:p w14:paraId="57DE9F8A" w14:textId="77777777" w:rsidR="00AC383A" w:rsidRPr="00AC383A" w:rsidRDefault="00AC383A" w:rsidP="006015C1">
      <w:pPr>
        <w:spacing w:after="0" w:line="240" w:lineRule="auto"/>
      </w:pPr>
    </w:p>
    <w:p w14:paraId="4683EFA8" w14:textId="543A33B6" w:rsidR="006015C1" w:rsidRPr="006015C1" w:rsidRDefault="006015C1" w:rsidP="006015C1">
      <w:pPr>
        <w:spacing w:after="0" w:line="240" w:lineRule="auto"/>
        <w:rPr>
          <w:b/>
          <w:bCs/>
        </w:rPr>
      </w:pPr>
      <w:r w:rsidRPr="006015C1">
        <w:rPr>
          <w:b/>
          <w:bCs/>
        </w:rPr>
        <w:t>Neighbourhood arrangements</w:t>
      </w:r>
    </w:p>
    <w:p w14:paraId="4E8DDC91" w14:textId="129B437B" w:rsidR="006015C1" w:rsidRDefault="006015C1" w:rsidP="006015C1">
      <w:pPr>
        <w:spacing w:after="0" w:line="240" w:lineRule="auto"/>
      </w:pPr>
      <w:r w:rsidRPr="006015C1">
        <w:t>Proposals for neighbourhood groupings raise important issues:</w:t>
      </w:r>
    </w:p>
    <w:p w14:paraId="218F8080" w14:textId="77777777" w:rsidR="00AC383A" w:rsidRPr="006015C1" w:rsidRDefault="00AC383A" w:rsidP="006015C1">
      <w:pPr>
        <w:spacing w:after="0" w:line="240" w:lineRule="auto"/>
      </w:pPr>
    </w:p>
    <w:p w14:paraId="33538D07" w14:textId="77777777" w:rsidR="006015C1" w:rsidRPr="006015C1" w:rsidRDefault="006015C1" w:rsidP="006015C1">
      <w:pPr>
        <w:numPr>
          <w:ilvl w:val="0"/>
          <w:numId w:val="72"/>
        </w:numPr>
        <w:spacing w:after="0" w:line="240" w:lineRule="auto"/>
      </w:pPr>
      <w:r w:rsidRPr="006015C1">
        <w:t xml:space="preserve">potential dilution of local representation </w:t>
      </w:r>
    </w:p>
    <w:p w14:paraId="27562408" w14:textId="77777777" w:rsidR="006015C1" w:rsidRPr="006015C1" w:rsidRDefault="006015C1" w:rsidP="006015C1">
      <w:pPr>
        <w:numPr>
          <w:ilvl w:val="0"/>
          <w:numId w:val="72"/>
        </w:numPr>
        <w:spacing w:after="0" w:line="240" w:lineRule="auto"/>
      </w:pPr>
      <w:r w:rsidRPr="006015C1">
        <w:t xml:space="preserve">lack of clarity on governance, accountability and decision-making </w:t>
      </w:r>
    </w:p>
    <w:p w14:paraId="2EB0FC42" w14:textId="77777777" w:rsidR="006015C1" w:rsidRPr="006015C1" w:rsidRDefault="006015C1" w:rsidP="006015C1">
      <w:pPr>
        <w:numPr>
          <w:ilvl w:val="0"/>
          <w:numId w:val="72"/>
        </w:numPr>
        <w:spacing w:after="0" w:line="240" w:lineRule="auto"/>
      </w:pPr>
      <w:r w:rsidRPr="006015C1">
        <w:t xml:space="preserve">risk of creating structures that duplicate or compete with existing parish councils </w:t>
      </w:r>
    </w:p>
    <w:p w14:paraId="3333E630" w14:textId="77777777" w:rsidR="00AC383A" w:rsidRPr="00AC383A" w:rsidRDefault="00AC383A" w:rsidP="006015C1">
      <w:pPr>
        <w:spacing w:after="0" w:line="240" w:lineRule="auto"/>
      </w:pPr>
    </w:p>
    <w:p w14:paraId="56CA300A" w14:textId="5161E250" w:rsidR="006015C1" w:rsidRDefault="006015C1" w:rsidP="006015C1">
      <w:pPr>
        <w:spacing w:after="0" w:line="240" w:lineRule="auto"/>
      </w:pPr>
      <w:r w:rsidRPr="006015C1">
        <w:t>Neighbourhood governance must:</w:t>
      </w:r>
    </w:p>
    <w:p w14:paraId="7DF952BD" w14:textId="77777777" w:rsidR="00AC383A" w:rsidRPr="006015C1" w:rsidRDefault="00AC383A" w:rsidP="006015C1">
      <w:pPr>
        <w:spacing w:after="0" w:line="240" w:lineRule="auto"/>
      </w:pPr>
    </w:p>
    <w:p w14:paraId="25A1D516" w14:textId="77777777" w:rsidR="006015C1" w:rsidRPr="006015C1" w:rsidRDefault="006015C1" w:rsidP="006015C1">
      <w:pPr>
        <w:numPr>
          <w:ilvl w:val="0"/>
          <w:numId w:val="73"/>
        </w:numPr>
        <w:spacing w:after="0" w:line="240" w:lineRule="auto"/>
      </w:pPr>
      <w:r w:rsidRPr="006015C1">
        <w:t xml:space="preserve">be built on the existing parish and town council network </w:t>
      </w:r>
    </w:p>
    <w:p w14:paraId="4C788495" w14:textId="77777777" w:rsidR="006015C1" w:rsidRPr="006015C1" w:rsidRDefault="006015C1" w:rsidP="006015C1">
      <w:pPr>
        <w:numPr>
          <w:ilvl w:val="0"/>
          <w:numId w:val="73"/>
        </w:numPr>
        <w:spacing w:after="0" w:line="240" w:lineRule="auto"/>
      </w:pPr>
      <w:r w:rsidRPr="006015C1">
        <w:t xml:space="preserve">ensure each community retains a clear and independent voice </w:t>
      </w:r>
    </w:p>
    <w:p w14:paraId="46832EEE" w14:textId="77777777" w:rsidR="006015C1" w:rsidRPr="006015C1" w:rsidRDefault="006015C1" w:rsidP="006015C1">
      <w:pPr>
        <w:numPr>
          <w:ilvl w:val="0"/>
          <w:numId w:val="73"/>
        </w:numPr>
        <w:spacing w:after="0" w:line="240" w:lineRule="auto"/>
      </w:pPr>
      <w:r w:rsidRPr="006015C1">
        <w:t xml:space="preserve">avoid creating additional layers that weaken accountability </w:t>
      </w:r>
    </w:p>
    <w:p w14:paraId="087B16E2" w14:textId="77777777" w:rsidR="00AC383A" w:rsidRPr="00AC383A" w:rsidRDefault="00AC383A" w:rsidP="006015C1">
      <w:pPr>
        <w:spacing w:after="0" w:line="240" w:lineRule="auto"/>
      </w:pPr>
    </w:p>
    <w:p w14:paraId="31AC4265" w14:textId="69129215" w:rsidR="006015C1" w:rsidRDefault="006015C1" w:rsidP="006015C1">
      <w:pPr>
        <w:spacing w:after="0" w:line="240" w:lineRule="auto"/>
      </w:pPr>
      <w:r w:rsidRPr="006015C1">
        <w:lastRenderedPageBreak/>
        <w:t>Critically, parish and town councils must have:</w:t>
      </w:r>
    </w:p>
    <w:p w14:paraId="4046E309" w14:textId="77777777" w:rsidR="00AC383A" w:rsidRPr="006015C1" w:rsidRDefault="00AC383A" w:rsidP="006015C1">
      <w:pPr>
        <w:spacing w:after="0" w:line="240" w:lineRule="auto"/>
      </w:pPr>
    </w:p>
    <w:p w14:paraId="387BDFAE" w14:textId="77777777" w:rsidR="006015C1" w:rsidRPr="006015C1" w:rsidRDefault="006015C1" w:rsidP="006015C1">
      <w:pPr>
        <w:numPr>
          <w:ilvl w:val="0"/>
          <w:numId w:val="74"/>
        </w:numPr>
        <w:spacing w:after="0" w:line="240" w:lineRule="auto"/>
      </w:pPr>
      <w:r w:rsidRPr="006015C1">
        <w:t xml:space="preserve">a defined and meaningful role in decision-making, not solely advisory status </w:t>
      </w:r>
    </w:p>
    <w:p w14:paraId="0340D887" w14:textId="77777777" w:rsidR="006015C1" w:rsidRPr="006015C1" w:rsidRDefault="006015C1" w:rsidP="006015C1">
      <w:pPr>
        <w:numPr>
          <w:ilvl w:val="0"/>
          <w:numId w:val="74"/>
        </w:numPr>
        <w:spacing w:after="0" w:line="240" w:lineRule="auto"/>
      </w:pPr>
      <w:r w:rsidRPr="006015C1">
        <w:t xml:space="preserve">representation within neighbourhood structures that reflects their democratic mandate </w:t>
      </w:r>
    </w:p>
    <w:p w14:paraId="69BF5D00" w14:textId="77777777" w:rsidR="006015C1" w:rsidRPr="006015C1" w:rsidRDefault="006015C1" w:rsidP="006015C1">
      <w:pPr>
        <w:numPr>
          <w:ilvl w:val="0"/>
          <w:numId w:val="74"/>
        </w:numPr>
        <w:spacing w:after="0" w:line="240" w:lineRule="auto"/>
      </w:pPr>
      <w:r w:rsidRPr="006015C1">
        <w:t xml:space="preserve">clear mechanisms for influencing local priorities, service delivery and resource allocation </w:t>
      </w:r>
    </w:p>
    <w:p w14:paraId="58309E85" w14:textId="77777777" w:rsidR="00AC383A" w:rsidRDefault="00AC383A" w:rsidP="006015C1">
      <w:pPr>
        <w:spacing w:after="0" w:line="240" w:lineRule="auto"/>
      </w:pPr>
    </w:p>
    <w:p w14:paraId="6D5FBE6A" w14:textId="75299B1D" w:rsidR="006015C1" w:rsidRPr="006015C1" w:rsidRDefault="006015C1" w:rsidP="006015C1">
      <w:pPr>
        <w:spacing w:after="0" w:line="240" w:lineRule="auto"/>
      </w:pPr>
      <w:r w:rsidRPr="006015C1">
        <w:t>Without this, neighbourhood empowerment will remain aspirational rather than operational.</w:t>
      </w:r>
    </w:p>
    <w:p w14:paraId="0D18CB31" w14:textId="5C3E3F3D" w:rsidR="006015C1" w:rsidRPr="006015C1" w:rsidRDefault="006015C1" w:rsidP="006015C1">
      <w:pPr>
        <w:spacing w:after="0" w:line="240" w:lineRule="auto"/>
      </w:pPr>
    </w:p>
    <w:p w14:paraId="0B37D2D2" w14:textId="77777777" w:rsidR="006015C1" w:rsidRPr="006015C1" w:rsidRDefault="006015C1" w:rsidP="006015C1">
      <w:pPr>
        <w:spacing w:after="0" w:line="240" w:lineRule="auto"/>
        <w:rPr>
          <w:b/>
          <w:bCs/>
        </w:rPr>
      </w:pPr>
      <w:r w:rsidRPr="006015C1">
        <w:rPr>
          <w:b/>
          <w:bCs/>
        </w:rPr>
        <w:t>D. Devolution and Future Governance (Q6)</w:t>
      </w:r>
    </w:p>
    <w:p w14:paraId="1948A15B" w14:textId="77777777" w:rsidR="00AC383A" w:rsidRDefault="00AC383A" w:rsidP="006015C1">
      <w:pPr>
        <w:spacing w:after="0" w:line="240" w:lineRule="auto"/>
      </w:pPr>
    </w:p>
    <w:p w14:paraId="3E4CF128" w14:textId="2465A227" w:rsidR="006015C1" w:rsidRDefault="001A271D" w:rsidP="006015C1">
      <w:pPr>
        <w:spacing w:after="0" w:line="240" w:lineRule="auto"/>
      </w:pPr>
      <w:r w:rsidRPr="001A271D">
        <w:t>A single unitary provides the most coherent platform for</w:t>
      </w:r>
      <w:r>
        <w:t xml:space="preserve"> devolution</w:t>
      </w:r>
      <w:r w:rsidR="006015C1" w:rsidRPr="006015C1">
        <w:t>.</w:t>
      </w:r>
      <w:r>
        <w:t xml:space="preserve"> </w:t>
      </w:r>
      <w:r w:rsidR="006015C1" w:rsidRPr="006015C1">
        <w:t>Parish and town councils are central to this, providing:</w:t>
      </w:r>
    </w:p>
    <w:p w14:paraId="2E0C640B" w14:textId="77777777" w:rsidR="001A271D" w:rsidRPr="006015C1" w:rsidRDefault="001A271D" w:rsidP="006015C1">
      <w:pPr>
        <w:spacing w:after="0" w:line="240" w:lineRule="auto"/>
      </w:pPr>
    </w:p>
    <w:p w14:paraId="28CC5E2E" w14:textId="77777777" w:rsidR="006015C1" w:rsidRPr="006015C1" w:rsidRDefault="006015C1" w:rsidP="006015C1">
      <w:pPr>
        <w:numPr>
          <w:ilvl w:val="0"/>
          <w:numId w:val="75"/>
        </w:numPr>
        <w:spacing w:after="0" w:line="240" w:lineRule="auto"/>
      </w:pPr>
      <w:r w:rsidRPr="006015C1">
        <w:t xml:space="preserve">local leadership and democratic accountability </w:t>
      </w:r>
    </w:p>
    <w:p w14:paraId="4345CB99" w14:textId="77777777" w:rsidR="006015C1" w:rsidRPr="006015C1" w:rsidRDefault="006015C1" w:rsidP="006015C1">
      <w:pPr>
        <w:numPr>
          <w:ilvl w:val="0"/>
          <w:numId w:val="75"/>
        </w:numPr>
        <w:spacing w:after="0" w:line="240" w:lineRule="auto"/>
      </w:pPr>
      <w:r w:rsidRPr="006015C1">
        <w:t xml:space="preserve">community engagement and insight </w:t>
      </w:r>
    </w:p>
    <w:p w14:paraId="67A091F5" w14:textId="77777777" w:rsidR="006015C1" w:rsidRPr="006015C1" w:rsidRDefault="006015C1" w:rsidP="006015C1">
      <w:pPr>
        <w:numPr>
          <w:ilvl w:val="0"/>
          <w:numId w:val="75"/>
        </w:numPr>
        <w:spacing w:after="0" w:line="240" w:lineRule="auto"/>
      </w:pPr>
      <w:r w:rsidRPr="006015C1">
        <w:t xml:space="preserve">delivery capacity at neighbourhood level </w:t>
      </w:r>
    </w:p>
    <w:p w14:paraId="333BFAAB" w14:textId="77777777" w:rsidR="00AC383A" w:rsidRDefault="00AC383A" w:rsidP="006015C1">
      <w:pPr>
        <w:spacing w:after="0" w:line="240" w:lineRule="auto"/>
      </w:pPr>
    </w:p>
    <w:p w14:paraId="160C5AFE" w14:textId="7A809E0B" w:rsidR="006015C1" w:rsidRPr="006015C1" w:rsidRDefault="006015C1" w:rsidP="006015C1">
      <w:pPr>
        <w:spacing w:after="0" w:line="240" w:lineRule="auto"/>
      </w:pPr>
      <w:r w:rsidRPr="006015C1">
        <w:t>For devolution to succeed, it must be underpinned by clear governance structures and partnership arrangements.</w:t>
      </w:r>
    </w:p>
    <w:p w14:paraId="73E9E57B" w14:textId="77777777" w:rsidR="00AC383A" w:rsidRPr="00AC383A" w:rsidRDefault="00AC383A" w:rsidP="006015C1">
      <w:pPr>
        <w:spacing w:after="0" w:line="240" w:lineRule="auto"/>
      </w:pPr>
    </w:p>
    <w:p w14:paraId="730B86D4" w14:textId="1262D09E" w:rsidR="006015C1" w:rsidRPr="006015C1" w:rsidRDefault="006015C1" w:rsidP="006015C1">
      <w:pPr>
        <w:spacing w:after="0" w:line="240" w:lineRule="auto"/>
        <w:rPr>
          <w:b/>
          <w:bCs/>
        </w:rPr>
      </w:pPr>
      <w:r w:rsidRPr="006015C1">
        <w:rPr>
          <w:b/>
          <w:bCs/>
        </w:rPr>
        <w:t>Structured partnership and representation</w:t>
      </w:r>
    </w:p>
    <w:p w14:paraId="1C407AF0" w14:textId="77777777" w:rsidR="006015C1" w:rsidRDefault="006015C1" w:rsidP="006015C1">
      <w:pPr>
        <w:spacing w:after="0" w:line="240" w:lineRule="auto"/>
      </w:pPr>
      <w:r w:rsidRPr="006015C1">
        <w:t>There must be formal recognition of the sector within governance arrangements, including:</w:t>
      </w:r>
    </w:p>
    <w:p w14:paraId="634833A6" w14:textId="77777777" w:rsidR="00AC383A" w:rsidRPr="006015C1" w:rsidRDefault="00AC383A" w:rsidP="006015C1">
      <w:pPr>
        <w:spacing w:after="0" w:line="240" w:lineRule="auto"/>
      </w:pPr>
    </w:p>
    <w:p w14:paraId="70B90FD8" w14:textId="77777777" w:rsidR="006015C1" w:rsidRPr="006015C1" w:rsidRDefault="006015C1" w:rsidP="006015C1">
      <w:pPr>
        <w:numPr>
          <w:ilvl w:val="0"/>
          <w:numId w:val="76"/>
        </w:numPr>
        <w:spacing w:after="0" w:line="240" w:lineRule="auto"/>
      </w:pPr>
      <w:r w:rsidRPr="006015C1">
        <w:t xml:space="preserve">representation of GAPTC within implementation and governance structures </w:t>
      </w:r>
    </w:p>
    <w:p w14:paraId="06A1B653" w14:textId="77777777" w:rsidR="006015C1" w:rsidRPr="006015C1" w:rsidRDefault="006015C1" w:rsidP="006015C1">
      <w:pPr>
        <w:numPr>
          <w:ilvl w:val="0"/>
          <w:numId w:val="76"/>
        </w:numPr>
        <w:spacing w:after="0" w:line="240" w:lineRule="auto"/>
      </w:pPr>
      <w:r w:rsidRPr="006015C1">
        <w:t xml:space="preserve">a formal mechanism for ongoing engagement between the unitary authority and the sector </w:t>
      </w:r>
    </w:p>
    <w:p w14:paraId="2CA92D85" w14:textId="77777777" w:rsidR="00AC383A" w:rsidRPr="00AC383A" w:rsidRDefault="00AC383A" w:rsidP="006015C1">
      <w:pPr>
        <w:spacing w:after="0" w:line="240" w:lineRule="auto"/>
      </w:pPr>
    </w:p>
    <w:p w14:paraId="04DC5484" w14:textId="6F15A6B4" w:rsidR="006015C1" w:rsidRPr="00AC383A" w:rsidRDefault="006015C1" w:rsidP="006015C1">
      <w:pPr>
        <w:spacing w:after="0" w:line="240" w:lineRule="auto"/>
      </w:pPr>
      <w:r w:rsidRPr="006015C1">
        <w:t>Consideration should be given to establishing:</w:t>
      </w:r>
    </w:p>
    <w:p w14:paraId="32033554" w14:textId="77777777" w:rsidR="00AC383A" w:rsidRPr="006015C1" w:rsidRDefault="00AC383A" w:rsidP="006015C1">
      <w:pPr>
        <w:spacing w:after="0" w:line="240" w:lineRule="auto"/>
      </w:pPr>
    </w:p>
    <w:p w14:paraId="13A2EE93" w14:textId="77777777" w:rsidR="006015C1" w:rsidRPr="006015C1" w:rsidRDefault="006015C1" w:rsidP="006015C1">
      <w:pPr>
        <w:numPr>
          <w:ilvl w:val="0"/>
          <w:numId w:val="77"/>
        </w:numPr>
        <w:spacing w:after="0" w:line="240" w:lineRule="auto"/>
      </w:pPr>
      <w:r w:rsidRPr="006015C1">
        <w:t xml:space="preserve">a Devolution Committee or Board, with representation from the unitary authority, GAPTC, and parish and town councils </w:t>
      </w:r>
    </w:p>
    <w:p w14:paraId="6CA72DBB" w14:textId="77777777" w:rsidR="006015C1" w:rsidRPr="006015C1" w:rsidRDefault="006015C1" w:rsidP="006015C1">
      <w:pPr>
        <w:numPr>
          <w:ilvl w:val="0"/>
          <w:numId w:val="77"/>
        </w:numPr>
        <w:spacing w:after="0" w:line="240" w:lineRule="auto"/>
      </w:pPr>
      <w:r w:rsidRPr="006015C1">
        <w:t xml:space="preserve">this body should oversee neighbourhood arrangements, devolution of services, and partnership working </w:t>
      </w:r>
    </w:p>
    <w:p w14:paraId="5B4BE923" w14:textId="77777777" w:rsidR="00AC383A" w:rsidRDefault="00AC383A" w:rsidP="006015C1">
      <w:pPr>
        <w:spacing w:after="0" w:line="240" w:lineRule="auto"/>
        <w:rPr>
          <w:b/>
          <w:bCs/>
        </w:rPr>
      </w:pPr>
    </w:p>
    <w:p w14:paraId="64923ED7" w14:textId="714410F8" w:rsidR="006015C1" w:rsidRPr="006015C1" w:rsidRDefault="006015C1" w:rsidP="006015C1">
      <w:pPr>
        <w:spacing w:after="0" w:line="240" w:lineRule="auto"/>
        <w:rPr>
          <w:b/>
          <w:bCs/>
        </w:rPr>
      </w:pPr>
      <w:r w:rsidRPr="006015C1">
        <w:rPr>
          <w:b/>
          <w:bCs/>
        </w:rPr>
        <w:t>Governance frameworks</w:t>
      </w:r>
    </w:p>
    <w:p w14:paraId="5981AB20" w14:textId="22737891" w:rsidR="006015C1" w:rsidRDefault="006015C1" w:rsidP="006015C1">
      <w:pPr>
        <w:spacing w:after="0" w:line="240" w:lineRule="auto"/>
      </w:pPr>
      <w:r w:rsidRPr="006015C1">
        <w:t>A clear, co-designed framework should set out:</w:t>
      </w:r>
    </w:p>
    <w:p w14:paraId="31AEDD60" w14:textId="77777777" w:rsidR="00AC383A" w:rsidRPr="006015C1" w:rsidRDefault="00AC383A" w:rsidP="006015C1">
      <w:pPr>
        <w:spacing w:after="0" w:line="240" w:lineRule="auto"/>
      </w:pPr>
    </w:p>
    <w:p w14:paraId="5E8ECF7A" w14:textId="77777777" w:rsidR="006015C1" w:rsidRPr="006015C1" w:rsidRDefault="006015C1" w:rsidP="006015C1">
      <w:pPr>
        <w:numPr>
          <w:ilvl w:val="0"/>
          <w:numId w:val="78"/>
        </w:numPr>
        <w:spacing w:after="0" w:line="240" w:lineRule="auto"/>
      </w:pPr>
      <w:r w:rsidRPr="006015C1">
        <w:t xml:space="preserve">roles and responsibilities </w:t>
      </w:r>
    </w:p>
    <w:p w14:paraId="27BA67E5" w14:textId="77777777" w:rsidR="006015C1" w:rsidRPr="006015C1" w:rsidRDefault="006015C1" w:rsidP="006015C1">
      <w:pPr>
        <w:numPr>
          <w:ilvl w:val="0"/>
          <w:numId w:val="78"/>
        </w:numPr>
        <w:spacing w:after="0" w:line="240" w:lineRule="auto"/>
      </w:pPr>
      <w:r w:rsidRPr="006015C1">
        <w:t xml:space="preserve">decision-making processes </w:t>
      </w:r>
    </w:p>
    <w:p w14:paraId="3530773C" w14:textId="77777777" w:rsidR="006015C1" w:rsidRPr="006015C1" w:rsidRDefault="006015C1" w:rsidP="006015C1">
      <w:pPr>
        <w:numPr>
          <w:ilvl w:val="0"/>
          <w:numId w:val="78"/>
        </w:numPr>
        <w:spacing w:after="0" w:line="240" w:lineRule="auto"/>
      </w:pPr>
      <w:r w:rsidRPr="006015C1">
        <w:t xml:space="preserve">expectations for engagement and collaboration </w:t>
      </w:r>
    </w:p>
    <w:p w14:paraId="7775185D" w14:textId="77777777" w:rsidR="00AC383A" w:rsidRDefault="00AC383A" w:rsidP="006015C1">
      <w:pPr>
        <w:spacing w:after="0" w:line="240" w:lineRule="auto"/>
      </w:pPr>
    </w:p>
    <w:p w14:paraId="1F5B17BC" w14:textId="6C8CFA8E" w:rsidR="006015C1" w:rsidRDefault="006015C1" w:rsidP="006015C1">
      <w:pPr>
        <w:spacing w:after="0" w:line="240" w:lineRule="auto"/>
      </w:pPr>
      <w:r w:rsidRPr="006015C1">
        <w:t>This should include:</w:t>
      </w:r>
    </w:p>
    <w:p w14:paraId="796A3D30" w14:textId="77777777" w:rsidR="00AC383A" w:rsidRPr="006015C1" w:rsidRDefault="00AC383A" w:rsidP="006015C1">
      <w:pPr>
        <w:spacing w:after="0" w:line="240" w:lineRule="auto"/>
      </w:pPr>
    </w:p>
    <w:p w14:paraId="04AA4019" w14:textId="77777777" w:rsidR="006015C1" w:rsidRPr="006015C1" w:rsidRDefault="006015C1" w:rsidP="006015C1">
      <w:pPr>
        <w:numPr>
          <w:ilvl w:val="0"/>
          <w:numId w:val="79"/>
        </w:numPr>
        <w:spacing w:after="0" w:line="240" w:lineRule="auto"/>
      </w:pPr>
      <w:r w:rsidRPr="006015C1">
        <w:t xml:space="preserve">a locally agreed charter between the unitary authority and parish and town councils </w:t>
      </w:r>
    </w:p>
    <w:p w14:paraId="1269A66C" w14:textId="77777777" w:rsidR="006015C1" w:rsidRPr="006015C1" w:rsidRDefault="006015C1" w:rsidP="006015C1">
      <w:pPr>
        <w:numPr>
          <w:ilvl w:val="0"/>
          <w:numId w:val="79"/>
        </w:numPr>
        <w:spacing w:after="0" w:line="240" w:lineRule="auto"/>
      </w:pPr>
      <w:r w:rsidRPr="006015C1">
        <w:t xml:space="preserve">clarity on service delivery, asset transfer, and funding arrangements </w:t>
      </w:r>
    </w:p>
    <w:p w14:paraId="7A223E92" w14:textId="77777777" w:rsidR="006015C1" w:rsidRPr="006015C1" w:rsidRDefault="006015C1" w:rsidP="006015C1">
      <w:pPr>
        <w:numPr>
          <w:ilvl w:val="0"/>
          <w:numId w:val="79"/>
        </w:numPr>
        <w:spacing w:after="0" w:line="240" w:lineRule="auto"/>
      </w:pPr>
      <w:r w:rsidRPr="006015C1">
        <w:t xml:space="preserve">mechanisms for accountability and dispute resolution </w:t>
      </w:r>
    </w:p>
    <w:p w14:paraId="6254DC1C" w14:textId="77777777" w:rsidR="00AC383A" w:rsidRDefault="00AC383A" w:rsidP="006015C1">
      <w:pPr>
        <w:spacing w:after="0" w:line="240" w:lineRule="auto"/>
        <w:rPr>
          <w:b/>
          <w:bCs/>
        </w:rPr>
      </w:pPr>
    </w:p>
    <w:p w14:paraId="0EC74FDE" w14:textId="63F25286" w:rsidR="006015C1" w:rsidRPr="006015C1" w:rsidRDefault="006015C1" w:rsidP="006015C1">
      <w:pPr>
        <w:spacing w:after="0" w:line="240" w:lineRule="auto"/>
        <w:rPr>
          <w:b/>
          <w:bCs/>
        </w:rPr>
      </w:pPr>
      <w:r w:rsidRPr="006015C1">
        <w:rPr>
          <w:b/>
          <w:bCs/>
        </w:rPr>
        <w:t>Dedicated support and infrastructure</w:t>
      </w:r>
    </w:p>
    <w:p w14:paraId="0F4FAFA0" w14:textId="68B685FE" w:rsidR="006015C1" w:rsidRDefault="006015C1" w:rsidP="006015C1">
      <w:pPr>
        <w:spacing w:after="0" w:line="240" w:lineRule="auto"/>
      </w:pPr>
      <w:r w:rsidRPr="006015C1">
        <w:lastRenderedPageBreak/>
        <w:t>Effective partnership requires:</w:t>
      </w:r>
    </w:p>
    <w:p w14:paraId="38874811" w14:textId="77777777" w:rsidR="00AC383A" w:rsidRPr="006015C1" w:rsidRDefault="00AC383A" w:rsidP="006015C1">
      <w:pPr>
        <w:spacing w:after="0" w:line="240" w:lineRule="auto"/>
      </w:pPr>
    </w:p>
    <w:p w14:paraId="7F113489" w14:textId="77777777" w:rsidR="006015C1" w:rsidRPr="006015C1" w:rsidRDefault="006015C1" w:rsidP="006015C1">
      <w:pPr>
        <w:numPr>
          <w:ilvl w:val="0"/>
          <w:numId w:val="80"/>
        </w:numPr>
        <w:spacing w:after="0" w:line="240" w:lineRule="auto"/>
      </w:pPr>
      <w:r w:rsidRPr="006015C1">
        <w:t xml:space="preserve">a dedicated officer function to support engagement with parish and town councils </w:t>
      </w:r>
    </w:p>
    <w:p w14:paraId="52195A70" w14:textId="77777777" w:rsidR="006015C1" w:rsidRPr="006015C1" w:rsidRDefault="006015C1" w:rsidP="006015C1">
      <w:pPr>
        <w:numPr>
          <w:ilvl w:val="0"/>
          <w:numId w:val="80"/>
        </w:numPr>
        <w:spacing w:after="0" w:line="240" w:lineRule="auto"/>
      </w:pPr>
      <w:r w:rsidRPr="006015C1">
        <w:t xml:space="preserve">structured and regular engagement at both strategic and operational levels </w:t>
      </w:r>
    </w:p>
    <w:p w14:paraId="31AF5F78" w14:textId="77777777" w:rsidR="006015C1" w:rsidRPr="006015C1" w:rsidRDefault="006015C1" w:rsidP="006015C1">
      <w:pPr>
        <w:numPr>
          <w:ilvl w:val="0"/>
          <w:numId w:val="80"/>
        </w:numPr>
        <w:spacing w:after="0" w:line="240" w:lineRule="auto"/>
      </w:pPr>
      <w:r w:rsidRPr="006015C1">
        <w:t xml:space="preserve">investment in training, capacity building and sector development </w:t>
      </w:r>
    </w:p>
    <w:p w14:paraId="154C12A1" w14:textId="77777777" w:rsidR="00AC383A" w:rsidRDefault="00AC383A" w:rsidP="006015C1">
      <w:pPr>
        <w:spacing w:after="0" w:line="240" w:lineRule="auto"/>
      </w:pPr>
    </w:p>
    <w:p w14:paraId="2FEE3DD6" w14:textId="62348E83" w:rsidR="006015C1" w:rsidRDefault="006015C1" w:rsidP="006015C1">
      <w:pPr>
        <w:spacing w:after="0" w:line="240" w:lineRule="auto"/>
      </w:pPr>
      <w:r w:rsidRPr="006015C1">
        <w:t>Without these structures, there is a significant risk that:</w:t>
      </w:r>
    </w:p>
    <w:p w14:paraId="3043627E" w14:textId="77777777" w:rsidR="00AC383A" w:rsidRPr="006015C1" w:rsidRDefault="00AC383A" w:rsidP="006015C1">
      <w:pPr>
        <w:spacing w:after="0" w:line="240" w:lineRule="auto"/>
      </w:pPr>
    </w:p>
    <w:p w14:paraId="61C6F9E8" w14:textId="77777777" w:rsidR="006015C1" w:rsidRPr="006015C1" w:rsidRDefault="006015C1" w:rsidP="006015C1">
      <w:pPr>
        <w:numPr>
          <w:ilvl w:val="0"/>
          <w:numId w:val="81"/>
        </w:numPr>
        <w:spacing w:after="0" w:line="240" w:lineRule="auto"/>
      </w:pPr>
      <w:r w:rsidRPr="006015C1">
        <w:t xml:space="preserve">devolution remains fragmented or inconsistent </w:t>
      </w:r>
    </w:p>
    <w:p w14:paraId="296E17D8" w14:textId="77777777" w:rsidR="006015C1" w:rsidRPr="006015C1" w:rsidRDefault="006015C1" w:rsidP="006015C1">
      <w:pPr>
        <w:numPr>
          <w:ilvl w:val="0"/>
          <w:numId w:val="81"/>
        </w:numPr>
        <w:spacing w:after="0" w:line="240" w:lineRule="auto"/>
      </w:pPr>
      <w:r w:rsidRPr="006015C1">
        <w:t xml:space="preserve">local engagement is reduced rather than strengthened </w:t>
      </w:r>
    </w:p>
    <w:p w14:paraId="7F9575C8" w14:textId="3EBD0E58" w:rsidR="006015C1" w:rsidRPr="006015C1" w:rsidRDefault="006015C1" w:rsidP="006015C1">
      <w:pPr>
        <w:spacing w:after="0" w:line="240" w:lineRule="auto"/>
      </w:pPr>
    </w:p>
    <w:p w14:paraId="23D48254" w14:textId="4AE2CE23" w:rsidR="006015C1" w:rsidRPr="006015C1" w:rsidRDefault="006015C1" w:rsidP="006015C1">
      <w:pPr>
        <w:spacing w:after="0" w:line="240" w:lineRule="auto"/>
        <w:rPr>
          <w:b/>
          <w:bCs/>
        </w:rPr>
      </w:pPr>
      <w:r w:rsidRPr="006015C1">
        <w:rPr>
          <w:b/>
          <w:bCs/>
        </w:rPr>
        <w:t>E. Boundary Change Considerations (</w:t>
      </w:r>
      <w:r w:rsidR="00AC383A">
        <w:rPr>
          <w:b/>
          <w:bCs/>
        </w:rPr>
        <w:t xml:space="preserve">Greater </w:t>
      </w:r>
      <w:r w:rsidRPr="006015C1">
        <w:rPr>
          <w:b/>
          <w:bCs/>
        </w:rPr>
        <w:t>Gloucester proposal)</w:t>
      </w:r>
    </w:p>
    <w:p w14:paraId="18895C34" w14:textId="77777777" w:rsidR="00AC383A" w:rsidRDefault="00AC383A" w:rsidP="006015C1">
      <w:pPr>
        <w:spacing w:after="0" w:line="240" w:lineRule="auto"/>
      </w:pPr>
    </w:p>
    <w:p w14:paraId="39D86441" w14:textId="58386E25" w:rsidR="006015C1" w:rsidRDefault="001A271D" w:rsidP="006015C1">
      <w:pPr>
        <w:spacing w:after="0" w:line="240" w:lineRule="auto"/>
      </w:pPr>
      <w:r w:rsidRPr="001A271D">
        <w:t>Any boundary changes within a unitary model must</w:t>
      </w:r>
      <w:r w:rsidR="006015C1" w:rsidRPr="006015C1">
        <w:t xml:space="preserve"> be supported by clear and robust justification.</w:t>
      </w:r>
      <w:r>
        <w:t xml:space="preserve"> </w:t>
      </w:r>
      <w:r w:rsidR="006015C1" w:rsidRPr="006015C1">
        <w:t>Boundary changes should:</w:t>
      </w:r>
    </w:p>
    <w:p w14:paraId="6BFA4D5D" w14:textId="77777777" w:rsidR="00AC383A" w:rsidRPr="006015C1" w:rsidRDefault="00AC383A" w:rsidP="006015C1">
      <w:pPr>
        <w:spacing w:after="0" w:line="240" w:lineRule="auto"/>
      </w:pPr>
    </w:p>
    <w:p w14:paraId="3D8AE3CF" w14:textId="77777777" w:rsidR="006015C1" w:rsidRPr="006015C1" w:rsidRDefault="006015C1" w:rsidP="006015C1">
      <w:pPr>
        <w:numPr>
          <w:ilvl w:val="0"/>
          <w:numId w:val="82"/>
        </w:numPr>
        <w:spacing w:after="0" w:line="240" w:lineRule="auto"/>
      </w:pPr>
      <w:r w:rsidRPr="006015C1">
        <w:t xml:space="preserve">demonstrate clear benefits for public service delivery and financial sustainability </w:t>
      </w:r>
    </w:p>
    <w:p w14:paraId="14526002" w14:textId="77777777" w:rsidR="006015C1" w:rsidRPr="006015C1" w:rsidRDefault="006015C1" w:rsidP="006015C1">
      <w:pPr>
        <w:numPr>
          <w:ilvl w:val="0"/>
          <w:numId w:val="82"/>
        </w:numPr>
        <w:spacing w:after="0" w:line="240" w:lineRule="auto"/>
      </w:pPr>
      <w:r w:rsidRPr="006015C1">
        <w:t xml:space="preserve">avoid unnecessary fragmentation of communities </w:t>
      </w:r>
    </w:p>
    <w:p w14:paraId="3739DE1B" w14:textId="77777777" w:rsidR="006015C1" w:rsidRPr="006015C1" w:rsidRDefault="006015C1" w:rsidP="006015C1">
      <w:pPr>
        <w:numPr>
          <w:ilvl w:val="0"/>
          <w:numId w:val="82"/>
        </w:numPr>
        <w:spacing w:after="0" w:line="240" w:lineRule="auto"/>
      </w:pPr>
      <w:r w:rsidRPr="006015C1">
        <w:t xml:space="preserve">reflect existing community identities, service patterns and local connections </w:t>
      </w:r>
    </w:p>
    <w:p w14:paraId="3802B754" w14:textId="77777777" w:rsidR="00AC383A" w:rsidRPr="00AC383A" w:rsidRDefault="00AC383A" w:rsidP="006015C1">
      <w:pPr>
        <w:spacing w:after="0" w:line="240" w:lineRule="auto"/>
      </w:pPr>
    </w:p>
    <w:p w14:paraId="420A802F" w14:textId="3BE76B0D" w:rsidR="006015C1" w:rsidRDefault="006015C1" w:rsidP="006015C1">
      <w:pPr>
        <w:spacing w:after="0" w:line="240" w:lineRule="auto"/>
      </w:pPr>
      <w:r w:rsidRPr="006015C1">
        <w:t>There is particular concern that boundary changes may:</w:t>
      </w:r>
    </w:p>
    <w:p w14:paraId="74E6F0EB" w14:textId="77777777" w:rsidR="00AC383A" w:rsidRPr="006015C1" w:rsidRDefault="00AC383A" w:rsidP="006015C1">
      <w:pPr>
        <w:spacing w:after="0" w:line="240" w:lineRule="auto"/>
      </w:pPr>
    </w:p>
    <w:p w14:paraId="27E464C4" w14:textId="77777777" w:rsidR="006015C1" w:rsidRPr="006015C1" w:rsidRDefault="006015C1" w:rsidP="006015C1">
      <w:pPr>
        <w:numPr>
          <w:ilvl w:val="0"/>
          <w:numId w:val="83"/>
        </w:numPr>
        <w:spacing w:after="0" w:line="240" w:lineRule="auto"/>
      </w:pPr>
      <w:r w:rsidRPr="006015C1">
        <w:t xml:space="preserve">divide established communities </w:t>
      </w:r>
    </w:p>
    <w:p w14:paraId="7FFA76EF" w14:textId="77777777" w:rsidR="006015C1" w:rsidRPr="006015C1" w:rsidRDefault="006015C1" w:rsidP="006015C1">
      <w:pPr>
        <w:numPr>
          <w:ilvl w:val="0"/>
          <w:numId w:val="83"/>
        </w:numPr>
        <w:spacing w:after="0" w:line="240" w:lineRule="auto"/>
      </w:pPr>
      <w:r w:rsidRPr="006015C1">
        <w:t xml:space="preserve">create complexity in service delivery </w:t>
      </w:r>
    </w:p>
    <w:p w14:paraId="46B1B6D2" w14:textId="77777777" w:rsidR="006015C1" w:rsidRPr="006015C1" w:rsidRDefault="006015C1" w:rsidP="006015C1">
      <w:pPr>
        <w:numPr>
          <w:ilvl w:val="0"/>
          <w:numId w:val="83"/>
        </w:numPr>
        <w:spacing w:after="0" w:line="240" w:lineRule="auto"/>
      </w:pPr>
      <w:r w:rsidRPr="006015C1">
        <w:t xml:space="preserve">weaken local representation </w:t>
      </w:r>
    </w:p>
    <w:p w14:paraId="3A3581C5" w14:textId="77777777" w:rsidR="00AC383A" w:rsidRDefault="00AC383A" w:rsidP="006015C1">
      <w:pPr>
        <w:spacing w:after="0" w:line="240" w:lineRule="auto"/>
      </w:pPr>
    </w:p>
    <w:p w14:paraId="2ABF63D7" w14:textId="5B3FD0AE" w:rsidR="006015C1" w:rsidRDefault="006015C1" w:rsidP="006015C1">
      <w:pPr>
        <w:spacing w:after="0" w:line="240" w:lineRule="auto"/>
      </w:pPr>
      <w:r w:rsidRPr="006015C1">
        <w:t>Any such changes must therefore be:</w:t>
      </w:r>
    </w:p>
    <w:p w14:paraId="7B001368" w14:textId="77777777" w:rsidR="00AC383A" w:rsidRPr="006015C1" w:rsidRDefault="00AC383A" w:rsidP="006015C1">
      <w:pPr>
        <w:spacing w:after="0" w:line="240" w:lineRule="auto"/>
      </w:pPr>
    </w:p>
    <w:p w14:paraId="0B6608E0" w14:textId="77777777" w:rsidR="006015C1" w:rsidRPr="006015C1" w:rsidRDefault="006015C1" w:rsidP="006015C1">
      <w:pPr>
        <w:numPr>
          <w:ilvl w:val="0"/>
          <w:numId w:val="84"/>
        </w:numPr>
        <w:spacing w:after="0" w:line="240" w:lineRule="auto"/>
      </w:pPr>
      <w:r w:rsidRPr="006015C1">
        <w:t xml:space="preserve">evidence-based </w:t>
      </w:r>
    </w:p>
    <w:p w14:paraId="646F1DB7" w14:textId="77777777" w:rsidR="006015C1" w:rsidRPr="006015C1" w:rsidRDefault="006015C1" w:rsidP="006015C1">
      <w:pPr>
        <w:numPr>
          <w:ilvl w:val="0"/>
          <w:numId w:val="84"/>
        </w:numPr>
        <w:spacing w:after="0" w:line="240" w:lineRule="auto"/>
      </w:pPr>
      <w:r w:rsidRPr="006015C1">
        <w:t xml:space="preserve">clearly communicated </w:t>
      </w:r>
    </w:p>
    <w:p w14:paraId="15D3D2FE" w14:textId="77777777" w:rsidR="006015C1" w:rsidRPr="006015C1" w:rsidRDefault="006015C1" w:rsidP="006015C1">
      <w:pPr>
        <w:numPr>
          <w:ilvl w:val="0"/>
          <w:numId w:val="84"/>
        </w:numPr>
        <w:spacing w:after="0" w:line="240" w:lineRule="auto"/>
      </w:pPr>
      <w:r w:rsidRPr="006015C1">
        <w:t xml:space="preserve">shaped through engagement with affected communities and parish councils </w:t>
      </w:r>
    </w:p>
    <w:p w14:paraId="7A52281F" w14:textId="31C04540" w:rsidR="006015C1" w:rsidRPr="006015C1" w:rsidRDefault="006015C1" w:rsidP="006015C1">
      <w:pPr>
        <w:spacing w:after="0" w:line="240" w:lineRule="auto"/>
      </w:pPr>
    </w:p>
    <w:p w14:paraId="3CDA22E6" w14:textId="77777777" w:rsidR="006015C1" w:rsidRPr="006015C1" w:rsidRDefault="006015C1" w:rsidP="006015C1">
      <w:pPr>
        <w:spacing w:after="0" w:line="240" w:lineRule="auto"/>
        <w:rPr>
          <w:b/>
          <w:bCs/>
        </w:rPr>
      </w:pPr>
      <w:r w:rsidRPr="006015C1">
        <w:rPr>
          <w:b/>
          <w:bCs/>
        </w:rPr>
        <w:t>4. Conclusion</w:t>
      </w:r>
    </w:p>
    <w:p w14:paraId="406991A1" w14:textId="77777777" w:rsidR="00AC383A" w:rsidRDefault="00AC383A" w:rsidP="006015C1">
      <w:pPr>
        <w:spacing w:after="0" w:line="240" w:lineRule="auto"/>
      </w:pPr>
    </w:p>
    <w:p w14:paraId="6D44D19B" w14:textId="10E90693" w:rsidR="001A271D" w:rsidRDefault="001A271D" w:rsidP="001A271D">
      <w:pPr>
        <w:spacing w:after="0" w:line="240" w:lineRule="auto"/>
      </w:pPr>
      <w:r>
        <w:t>While GAPTC reflects the sector’s broad support for a single Gloucestershire unitary authority, the success of this model will depend on how effectively it embeds meaningful local governance, protects community identity and enables parish and town councils to operate as equal partners within the system.</w:t>
      </w:r>
    </w:p>
    <w:p w14:paraId="042A1F93" w14:textId="77777777" w:rsidR="001A271D" w:rsidRDefault="001A271D" w:rsidP="001A271D">
      <w:pPr>
        <w:spacing w:after="0" w:line="240" w:lineRule="auto"/>
      </w:pPr>
    </w:p>
    <w:p w14:paraId="5F09EC0B" w14:textId="77777777" w:rsidR="001A271D" w:rsidRDefault="001A271D" w:rsidP="001A271D">
      <w:pPr>
        <w:spacing w:after="0" w:line="240" w:lineRule="auto"/>
      </w:pPr>
      <w:r>
        <w:t>Parish and town councils are already delivering at neighbourhood level as democratically elected, place-based institutions with deep community insight. They provide an existing and functioning foundation for local governance which should be built upon, not replaced or marginalised.</w:t>
      </w:r>
    </w:p>
    <w:p w14:paraId="1AB15131" w14:textId="77777777" w:rsidR="001A271D" w:rsidRDefault="001A271D" w:rsidP="001A271D">
      <w:pPr>
        <w:spacing w:after="0" w:line="240" w:lineRule="auto"/>
      </w:pPr>
    </w:p>
    <w:p w14:paraId="1F848D8F" w14:textId="56ADFE75" w:rsidR="001A271D" w:rsidRDefault="001A271D" w:rsidP="001A271D">
      <w:pPr>
        <w:spacing w:after="0" w:line="240" w:lineRule="auto"/>
      </w:pPr>
      <w:r>
        <w:t>Local government reorganisation presents a significant opportunity to strengthen local democracy, improve service delivery, and support community wellbeing. This opportunity will only be realised where parish and town councils are fully integrated into governance arrangements, supported by clear frameworks, sustainable funding and genuine influence over decisions that affect their communities.</w:t>
      </w:r>
    </w:p>
    <w:p w14:paraId="3B3768BD" w14:textId="77777777" w:rsidR="001A271D" w:rsidRDefault="001A271D" w:rsidP="001A271D">
      <w:pPr>
        <w:spacing w:after="0" w:line="240" w:lineRule="auto"/>
      </w:pPr>
    </w:p>
    <w:p w14:paraId="08E15DF3" w14:textId="57B9E091" w:rsidR="00FF7699" w:rsidRPr="00071363" w:rsidRDefault="001A271D" w:rsidP="001A271D">
      <w:pPr>
        <w:spacing w:after="0" w:line="240" w:lineRule="auto"/>
      </w:pPr>
      <w:r>
        <w:t>GAPTC and its member councils stand ready to work constructively with government and partners to ensure that reform delivers stronger, more connected and more resilient communities across Gloucestershire.</w:t>
      </w:r>
    </w:p>
    <w:sectPr w:rsidR="00FF7699" w:rsidRPr="0007136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A7355" w14:textId="77777777" w:rsidR="00874621" w:rsidRDefault="00874621" w:rsidP="000E610A">
      <w:pPr>
        <w:spacing w:after="0" w:line="240" w:lineRule="auto"/>
      </w:pPr>
      <w:r>
        <w:separator/>
      </w:r>
    </w:p>
  </w:endnote>
  <w:endnote w:type="continuationSeparator" w:id="0">
    <w:p w14:paraId="3C578ED3" w14:textId="77777777" w:rsidR="00874621" w:rsidRDefault="00874621" w:rsidP="000E6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848DC" w14:textId="77777777" w:rsidR="000E610A" w:rsidRDefault="000E610A">
    <w:pPr>
      <w:pStyle w:val="Footer"/>
      <w:rPr>
        <w:sz w:val="16"/>
        <w:szCs w:val="16"/>
      </w:rPr>
    </w:pPr>
  </w:p>
  <w:p w14:paraId="7BADDB15" w14:textId="36B8433D" w:rsidR="000E610A" w:rsidRPr="000E610A" w:rsidRDefault="000E610A" w:rsidP="000E610A">
    <w:pPr>
      <w:pStyle w:val="Footer"/>
      <w:jc w:val="right"/>
      <w:rPr>
        <w:sz w:val="16"/>
        <w:szCs w:val="16"/>
      </w:rPr>
    </w:pPr>
    <w:r w:rsidRPr="000E610A">
      <w:rPr>
        <w:sz w:val="16"/>
        <w:szCs w:val="16"/>
      </w:rPr>
      <w:t>Gloucestershire Association of Parish &amp; Town Councils</w:t>
    </w:r>
  </w:p>
  <w:p w14:paraId="3E4D19BE" w14:textId="4FA0CBAB" w:rsidR="000E610A" w:rsidRPr="000E610A" w:rsidRDefault="000E610A" w:rsidP="000E610A">
    <w:pPr>
      <w:pStyle w:val="Footer"/>
      <w:jc w:val="right"/>
      <w:rPr>
        <w:sz w:val="16"/>
        <w:szCs w:val="16"/>
      </w:rPr>
    </w:pPr>
    <w:r w:rsidRPr="000E610A">
      <w:rPr>
        <w:sz w:val="16"/>
        <w:szCs w:val="16"/>
      </w:rPr>
      <w:t>Cranham House, Falcon Close, Quedgeley GL2 4LY</w:t>
    </w:r>
  </w:p>
  <w:p w14:paraId="5E87E3CE" w14:textId="0FED695B" w:rsidR="000E610A" w:rsidRPr="000E610A" w:rsidRDefault="000E610A" w:rsidP="000E610A">
    <w:pPr>
      <w:pStyle w:val="Footer"/>
      <w:jc w:val="right"/>
      <w:rPr>
        <w:sz w:val="16"/>
        <w:szCs w:val="16"/>
      </w:rPr>
    </w:pPr>
    <w:r w:rsidRPr="000E610A">
      <w:rPr>
        <w:sz w:val="16"/>
        <w:szCs w:val="16"/>
      </w:rPr>
      <w:t>01452 883388</w:t>
    </w:r>
  </w:p>
  <w:p w14:paraId="7C8DFAFD" w14:textId="18946871" w:rsidR="000E610A" w:rsidRPr="000E610A" w:rsidRDefault="000E610A" w:rsidP="000E610A">
    <w:pPr>
      <w:pStyle w:val="Footer"/>
      <w:jc w:val="right"/>
      <w:rPr>
        <w:sz w:val="16"/>
        <w:szCs w:val="16"/>
      </w:rPr>
    </w:pPr>
    <w:hyperlink r:id="rId1" w:history="1">
      <w:r w:rsidRPr="000E610A">
        <w:rPr>
          <w:rStyle w:val="Hyperlink"/>
          <w:color w:val="auto"/>
          <w:sz w:val="16"/>
          <w:szCs w:val="16"/>
          <w:u w:val="none"/>
        </w:rPr>
        <w:t>info@gaptc.org.uk</w:t>
      </w:r>
    </w:hyperlink>
  </w:p>
  <w:p w14:paraId="5616E079" w14:textId="26255762" w:rsidR="000E610A" w:rsidRPr="000E610A" w:rsidRDefault="000E610A" w:rsidP="000E610A">
    <w:pPr>
      <w:pStyle w:val="Footer"/>
      <w:jc w:val="right"/>
      <w:rPr>
        <w:sz w:val="16"/>
        <w:szCs w:val="16"/>
      </w:rPr>
    </w:pPr>
    <w:r w:rsidRPr="000E610A">
      <w:rPr>
        <w:sz w:val="16"/>
        <w:szCs w:val="16"/>
      </w:rPr>
      <w:t>www.gaptc.org.uk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83244" w14:textId="77777777" w:rsidR="00874621" w:rsidRDefault="00874621" w:rsidP="000E610A">
      <w:pPr>
        <w:spacing w:after="0" w:line="240" w:lineRule="auto"/>
      </w:pPr>
      <w:r>
        <w:separator/>
      </w:r>
    </w:p>
  </w:footnote>
  <w:footnote w:type="continuationSeparator" w:id="0">
    <w:p w14:paraId="75E461A5" w14:textId="77777777" w:rsidR="00874621" w:rsidRDefault="00874621" w:rsidP="000E61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44C3A" w14:textId="05A1A4CD" w:rsidR="000E610A" w:rsidRDefault="000E610A">
    <w:pPr>
      <w:pStyle w:val="Header"/>
    </w:pPr>
    <w:r>
      <w:rPr>
        <w:noProof/>
      </w:rPr>
      <w:drawing>
        <wp:inline distT="0" distB="0" distL="0" distR="0" wp14:anchorId="3FAF0A47" wp14:editId="6693087C">
          <wp:extent cx="1742995" cy="488950"/>
          <wp:effectExtent l="0" t="0" r="0" b="6350"/>
          <wp:docPr id="1945649701" name="Picture 1" descr="A green and purpl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649701" name="Picture 1" descr="A green and purpl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52674" cy="491665"/>
                  </a:xfrm>
                  <a:prstGeom prst="rect">
                    <a:avLst/>
                  </a:prstGeom>
                </pic:spPr>
              </pic:pic>
            </a:graphicData>
          </a:graphic>
        </wp:inline>
      </w:drawing>
    </w:r>
  </w:p>
  <w:p w14:paraId="708DFDBD" w14:textId="77777777" w:rsidR="000E610A" w:rsidRDefault="000E61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783B"/>
    <w:multiLevelType w:val="hybridMultilevel"/>
    <w:tmpl w:val="7D6042DA"/>
    <w:lvl w:ilvl="0" w:tplc="E3027EA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D17C4"/>
    <w:multiLevelType w:val="hybridMultilevel"/>
    <w:tmpl w:val="BD2CC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8B2E10"/>
    <w:multiLevelType w:val="multilevel"/>
    <w:tmpl w:val="CAA83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992102"/>
    <w:multiLevelType w:val="multilevel"/>
    <w:tmpl w:val="20C8F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2E7BD5"/>
    <w:multiLevelType w:val="multilevel"/>
    <w:tmpl w:val="EC866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764C55"/>
    <w:multiLevelType w:val="multilevel"/>
    <w:tmpl w:val="3522E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3024DC"/>
    <w:multiLevelType w:val="multilevel"/>
    <w:tmpl w:val="750E0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1F065E"/>
    <w:multiLevelType w:val="multilevel"/>
    <w:tmpl w:val="E656E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3C6218"/>
    <w:multiLevelType w:val="multilevel"/>
    <w:tmpl w:val="0CEC0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3803C3"/>
    <w:multiLevelType w:val="multilevel"/>
    <w:tmpl w:val="10AC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5F558A"/>
    <w:multiLevelType w:val="multilevel"/>
    <w:tmpl w:val="94C86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2F654B"/>
    <w:multiLevelType w:val="multilevel"/>
    <w:tmpl w:val="7C821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9F3CEF"/>
    <w:multiLevelType w:val="multilevel"/>
    <w:tmpl w:val="B08A4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C26CA1"/>
    <w:multiLevelType w:val="multilevel"/>
    <w:tmpl w:val="63D20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A36932"/>
    <w:multiLevelType w:val="multilevel"/>
    <w:tmpl w:val="C4D0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424FA3"/>
    <w:multiLevelType w:val="multilevel"/>
    <w:tmpl w:val="F134D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367888"/>
    <w:multiLevelType w:val="multilevel"/>
    <w:tmpl w:val="B60EA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323E3F"/>
    <w:multiLevelType w:val="multilevel"/>
    <w:tmpl w:val="847AC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98D616B"/>
    <w:multiLevelType w:val="multilevel"/>
    <w:tmpl w:val="363E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D77B0F"/>
    <w:multiLevelType w:val="multilevel"/>
    <w:tmpl w:val="861E8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983032"/>
    <w:multiLevelType w:val="multilevel"/>
    <w:tmpl w:val="383A9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BA600E"/>
    <w:multiLevelType w:val="multilevel"/>
    <w:tmpl w:val="9AFE6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2C5F91"/>
    <w:multiLevelType w:val="multilevel"/>
    <w:tmpl w:val="FE826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9F1993"/>
    <w:multiLevelType w:val="multilevel"/>
    <w:tmpl w:val="B7BE7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38D1472"/>
    <w:multiLevelType w:val="multilevel"/>
    <w:tmpl w:val="15F6F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52D5A8E"/>
    <w:multiLevelType w:val="multilevel"/>
    <w:tmpl w:val="6FF45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60D03A7"/>
    <w:multiLevelType w:val="multilevel"/>
    <w:tmpl w:val="A832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61242D6"/>
    <w:multiLevelType w:val="multilevel"/>
    <w:tmpl w:val="9E163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76D290E"/>
    <w:multiLevelType w:val="multilevel"/>
    <w:tmpl w:val="8318B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7F47BC3"/>
    <w:multiLevelType w:val="multilevel"/>
    <w:tmpl w:val="5DB42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C9C20D2"/>
    <w:multiLevelType w:val="multilevel"/>
    <w:tmpl w:val="888CD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DD3456B"/>
    <w:multiLevelType w:val="multilevel"/>
    <w:tmpl w:val="9C9EE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ECE43FF"/>
    <w:multiLevelType w:val="multilevel"/>
    <w:tmpl w:val="8D209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0781655"/>
    <w:multiLevelType w:val="multilevel"/>
    <w:tmpl w:val="02720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21F1AEB"/>
    <w:multiLevelType w:val="multilevel"/>
    <w:tmpl w:val="CBFE6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22E4B03"/>
    <w:multiLevelType w:val="multilevel"/>
    <w:tmpl w:val="D5D04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45C5EDD"/>
    <w:multiLevelType w:val="multilevel"/>
    <w:tmpl w:val="13249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4735ADE"/>
    <w:multiLevelType w:val="multilevel"/>
    <w:tmpl w:val="813A2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5151FE7"/>
    <w:multiLevelType w:val="multilevel"/>
    <w:tmpl w:val="221AA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865284A"/>
    <w:multiLevelType w:val="multilevel"/>
    <w:tmpl w:val="BCEAF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A133C88"/>
    <w:multiLevelType w:val="multilevel"/>
    <w:tmpl w:val="DC0EC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CFD7F1A"/>
    <w:multiLevelType w:val="multilevel"/>
    <w:tmpl w:val="C1402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EBA1AFA"/>
    <w:multiLevelType w:val="multilevel"/>
    <w:tmpl w:val="26AAA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F4032E9"/>
    <w:multiLevelType w:val="multilevel"/>
    <w:tmpl w:val="B1D8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2657072"/>
    <w:multiLevelType w:val="multilevel"/>
    <w:tmpl w:val="2DE2C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74C7465"/>
    <w:multiLevelType w:val="multilevel"/>
    <w:tmpl w:val="0CBCC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8152126"/>
    <w:multiLevelType w:val="multilevel"/>
    <w:tmpl w:val="BD785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882731E"/>
    <w:multiLevelType w:val="multilevel"/>
    <w:tmpl w:val="21204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A463152"/>
    <w:multiLevelType w:val="multilevel"/>
    <w:tmpl w:val="B93E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ACF193F"/>
    <w:multiLevelType w:val="multilevel"/>
    <w:tmpl w:val="69509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B8D28C2"/>
    <w:multiLevelType w:val="multilevel"/>
    <w:tmpl w:val="8F18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0FF7CC7"/>
    <w:multiLevelType w:val="multilevel"/>
    <w:tmpl w:val="82A8F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3330F82"/>
    <w:multiLevelType w:val="multilevel"/>
    <w:tmpl w:val="21BC9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3385B15"/>
    <w:multiLevelType w:val="multilevel"/>
    <w:tmpl w:val="0088B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4BC7E2F"/>
    <w:multiLevelType w:val="multilevel"/>
    <w:tmpl w:val="44EE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6820389"/>
    <w:multiLevelType w:val="multilevel"/>
    <w:tmpl w:val="A2ECA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6C6315F"/>
    <w:multiLevelType w:val="multilevel"/>
    <w:tmpl w:val="A852C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81F713B"/>
    <w:multiLevelType w:val="multilevel"/>
    <w:tmpl w:val="7214D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9001FAC"/>
    <w:multiLevelType w:val="multilevel"/>
    <w:tmpl w:val="6BFA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9195F20"/>
    <w:multiLevelType w:val="multilevel"/>
    <w:tmpl w:val="37A2B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9432786"/>
    <w:multiLevelType w:val="multilevel"/>
    <w:tmpl w:val="E2F4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AC75D6A"/>
    <w:multiLevelType w:val="multilevel"/>
    <w:tmpl w:val="F446E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AD27A2B"/>
    <w:multiLevelType w:val="multilevel"/>
    <w:tmpl w:val="15C45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B64528D"/>
    <w:multiLevelType w:val="multilevel"/>
    <w:tmpl w:val="7CC86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BE47464"/>
    <w:multiLevelType w:val="multilevel"/>
    <w:tmpl w:val="021E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D8B5755"/>
    <w:multiLevelType w:val="multilevel"/>
    <w:tmpl w:val="1E864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DC64809"/>
    <w:multiLevelType w:val="multilevel"/>
    <w:tmpl w:val="A91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F3413FA"/>
    <w:multiLevelType w:val="multilevel"/>
    <w:tmpl w:val="44B44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0CF248A"/>
    <w:multiLevelType w:val="multilevel"/>
    <w:tmpl w:val="F58A5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3590EBA"/>
    <w:multiLevelType w:val="multilevel"/>
    <w:tmpl w:val="72F82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58267EB"/>
    <w:multiLevelType w:val="multilevel"/>
    <w:tmpl w:val="D25A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6C14F98"/>
    <w:multiLevelType w:val="multilevel"/>
    <w:tmpl w:val="A072B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8B9431E"/>
    <w:multiLevelType w:val="multilevel"/>
    <w:tmpl w:val="4EAEF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91A585D"/>
    <w:multiLevelType w:val="multilevel"/>
    <w:tmpl w:val="59220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9466A06"/>
    <w:multiLevelType w:val="multilevel"/>
    <w:tmpl w:val="5D2E3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9564811"/>
    <w:multiLevelType w:val="multilevel"/>
    <w:tmpl w:val="E8C6A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AAF78E0"/>
    <w:multiLevelType w:val="multilevel"/>
    <w:tmpl w:val="097AE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01062E5"/>
    <w:multiLevelType w:val="multilevel"/>
    <w:tmpl w:val="683A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1286EAD"/>
    <w:multiLevelType w:val="multilevel"/>
    <w:tmpl w:val="48CAD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15A4D65"/>
    <w:multiLevelType w:val="multilevel"/>
    <w:tmpl w:val="A3DA8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2697284"/>
    <w:multiLevelType w:val="multilevel"/>
    <w:tmpl w:val="03DC6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3E32A67"/>
    <w:multiLevelType w:val="multilevel"/>
    <w:tmpl w:val="E95AB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6E46414"/>
    <w:multiLevelType w:val="hybridMultilevel"/>
    <w:tmpl w:val="2CA4F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77A4D8C"/>
    <w:multiLevelType w:val="multilevel"/>
    <w:tmpl w:val="705C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84420B8"/>
    <w:multiLevelType w:val="multilevel"/>
    <w:tmpl w:val="C980E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A1B3F6B"/>
    <w:multiLevelType w:val="multilevel"/>
    <w:tmpl w:val="7AF21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ACD6C26"/>
    <w:multiLevelType w:val="multilevel"/>
    <w:tmpl w:val="662C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C436E11"/>
    <w:multiLevelType w:val="multilevel"/>
    <w:tmpl w:val="B2F60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D0800CD"/>
    <w:multiLevelType w:val="multilevel"/>
    <w:tmpl w:val="F1A26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2856544">
    <w:abstractNumId w:val="82"/>
  </w:num>
  <w:num w:numId="2" w16cid:durableId="228348447">
    <w:abstractNumId w:val="20"/>
  </w:num>
  <w:num w:numId="3" w16cid:durableId="1247035426">
    <w:abstractNumId w:val="27"/>
  </w:num>
  <w:num w:numId="4" w16cid:durableId="371732898">
    <w:abstractNumId w:val="16"/>
  </w:num>
  <w:num w:numId="5" w16cid:durableId="653948438">
    <w:abstractNumId w:val="52"/>
  </w:num>
  <w:num w:numId="6" w16cid:durableId="136456559">
    <w:abstractNumId w:val="81"/>
  </w:num>
  <w:num w:numId="7" w16cid:durableId="1403063375">
    <w:abstractNumId w:val="42"/>
  </w:num>
  <w:num w:numId="8" w16cid:durableId="1537082148">
    <w:abstractNumId w:val="70"/>
  </w:num>
  <w:num w:numId="9" w16cid:durableId="1753433928">
    <w:abstractNumId w:val="39"/>
  </w:num>
  <w:num w:numId="10" w16cid:durableId="1641500159">
    <w:abstractNumId w:val="68"/>
  </w:num>
  <w:num w:numId="11" w16cid:durableId="1932929786">
    <w:abstractNumId w:val="86"/>
  </w:num>
  <w:num w:numId="12" w16cid:durableId="1480683789">
    <w:abstractNumId w:val="74"/>
  </w:num>
  <w:num w:numId="13" w16cid:durableId="557277542">
    <w:abstractNumId w:val="49"/>
  </w:num>
  <w:num w:numId="14" w16cid:durableId="1455908857">
    <w:abstractNumId w:val="64"/>
  </w:num>
  <w:num w:numId="15" w16cid:durableId="100805442">
    <w:abstractNumId w:val="3"/>
  </w:num>
  <w:num w:numId="16" w16cid:durableId="1909922508">
    <w:abstractNumId w:val="44"/>
  </w:num>
  <w:num w:numId="17" w16cid:durableId="1966689518">
    <w:abstractNumId w:val="28"/>
  </w:num>
  <w:num w:numId="18" w16cid:durableId="1465393147">
    <w:abstractNumId w:val="14"/>
  </w:num>
  <w:num w:numId="19" w16cid:durableId="944536061">
    <w:abstractNumId w:val="15"/>
  </w:num>
  <w:num w:numId="20" w16cid:durableId="1156611380">
    <w:abstractNumId w:val="36"/>
  </w:num>
  <w:num w:numId="21" w16cid:durableId="725373867">
    <w:abstractNumId w:val="6"/>
  </w:num>
  <w:num w:numId="22" w16cid:durableId="1196849768">
    <w:abstractNumId w:val="2"/>
  </w:num>
  <w:num w:numId="23" w16cid:durableId="382142507">
    <w:abstractNumId w:val="38"/>
  </w:num>
  <w:num w:numId="24" w16cid:durableId="1393113812">
    <w:abstractNumId w:val="8"/>
  </w:num>
  <w:num w:numId="25" w16cid:durableId="276185072">
    <w:abstractNumId w:val="7"/>
  </w:num>
  <w:num w:numId="26" w16cid:durableId="93206805">
    <w:abstractNumId w:val="17"/>
  </w:num>
  <w:num w:numId="27" w16cid:durableId="549459003">
    <w:abstractNumId w:val="78"/>
  </w:num>
  <w:num w:numId="28" w16cid:durableId="1520512602">
    <w:abstractNumId w:val="62"/>
  </w:num>
  <w:num w:numId="29" w16cid:durableId="770007154">
    <w:abstractNumId w:val="71"/>
  </w:num>
  <w:num w:numId="30" w16cid:durableId="1333683121">
    <w:abstractNumId w:val="34"/>
  </w:num>
  <w:num w:numId="31" w16cid:durableId="1908415498">
    <w:abstractNumId w:val="60"/>
  </w:num>
  <w:num w:numId="32" w16cid:durableId="1935479848">
    <w:abstractNumId w:val="56"/>
  </w:num>
  <w:num w:numId="33" w16cid:durableId="2122727685">
    <w:abstractNumId w:val="84"/>
  </w:num>
  <w:num w:numId="34" w16cid:durableId="1612125676">
    <w:abstractNumId w:val="12"/>
  </w:num>
  <w:num w:numId="35" w16cid:durableId="944313813">
    <w:abstractNumId w:val="35"/>
  </w:num>
  <w:num w:numId="36" w16cid:durableId="638610221">
    <w:abstractNumId w:val="32"/>
  </w:num>
  <w:num w:numId="37" w16cid:durableId="1397774808">
    <w:abstractNumId w:val="65"/>
  </w:num>
  <w:num w:numId="38" w16cid:durableId="729184401">
    <w:abstractNumId w:val="79"/>
  </w:num>
  <w:num w:numId="39" w16cid:durableId="1436172052">
    <w:abstractNumId w:val="30"/>
  </w:num>
  <w:num w:numId="40" w16cid:durableId="640689824">
    <w:abstractNumId w:val="18"/>
  </w:num>
  <w:num w:numId="41" w16cid:durableId="2104449259">
    <w:abstractNumId w:val="4"/>
  </w:num>
  <w:num w:numId="42" w16cid:durableId="835342864">
    <w:abstractNumId w:val="80"/>
  </w:num>
  <w:num w:numId="43" w16cid:durableId="1832259473">
    <w:abstractNumId w:val="75"/>
  </w:num>
  <w:num w:numId="44" w16cid:durableId="407848278">
    <w:abstractNumId w:val="59"/>
  </w:num>
  <w:num w:numId="45" w16cid:durableId="227153573">
    <w:abstractNumId w:val="41"/>
  </w:num>
  <w:num w:numId="46" w16cid:durableId="201290320">
    <w:abstractNumId w:val="85"/>
  </w:num>
  <w:num w:numId="47" w16cid:durableId="1502156334">
    <w:abstractNumId w:val="46"/>
  </w:num>
  <w:num w:numId="48" w16cid:durableId="1367217321">
    <w:abstractNumId w:val="5"/>
  </w:num>
  <w:num w:numId="49" w16cid:durableId="446432220">
    <w:abstractNumId w:val="53"/>
  </w:num>
  <w:num w:numId="50" w16cid:durableId="680667247">
    <w:abstractNumId w:val="40"/>
  </w:num>
  <w:num w:numId="51" w16cid:durableId="2013290245">
    <w:abstractNumId w:val="57"/>
  </w:num>
  <w:num w:numId="52" w16cid:durableId="2041779562">
    <w:abstractNumId w:val="22"/>
  </w:num>
  <w:num w:numId="53" w16cid:durableId="1485704041">
    <w:abstractNumId w:val="33"/>
  </w:num>
  <w:num w:numId="54" w16cid:durableId="2109349153">
    <w:abstractNumId w:val="77"/>
  </w:num>
  <w:num w:numId="55" w16cid:durableId="889728775">
    <w:abstractNumId w:val="26"/>
  </w:num>
  <w:num w:numId="56" w16cid:durableId="1972898200">
    <w:abstractNumId w:val="61"/>
  </w:num>
  <w:num w:numId="57" w16cid:durableId="741024990">
    <w:abstractNumId w:val="47"/>
  </w:num>
  <w:num w:numId="58" w16cid:durableId="903108335">
    <w:abstractNumId w:val="21"/>
  </w:num>
  <w:num w:numId="59" w16cid:durableId="2146045294">
    <w:abstractNumId w:val="48"/>
  </w:num>
  <w:num w:numId="60" w16cid:durableId="1562252795">
    <w:abstractNumId w:val="58"/>
  </w:num>
  <w:num w:numId="61" w16cid:durableId="1998880337">
    <w:abstractNumId w:val="72"/>
  </w:num>
  <w:num w:numId="62" w16cid:durableId="1370178102">
    <w:abstractNumId w:val="37"/>
  </w:num>
  <w:num w:numId="63" w16cid:durableId="512377660">
    <w:abstractNumId w:val="54"/>
  </w:num>
  <w:num w:numId="64" w16cid:durableId="1636258764">
    <w:abstractNumId w:val="9"/>
  </w:num>
  <w:num w:numId="65" w16cid:durableId="1996836373">
    <w:abstractNumId w:val="11"/>
  </w:num>
  <w:num w:numId="66" w16cid:durableId="457337416">
    <w:abstractNumId w:val="50"/>
  </w:num>
  <w:num w:numId="67" w16cid:durableId="454257288">
    <w:abstractNumId w:val="23"/>
  </w:num>
  <w:num w:numId="68" w16cid:durableId="1588465374">
    <w:abstractNumId w:val="31"/>
  </w:num>
  <w:num w:numId="69" w16cid:durableId="298073355">
    <w:abstractNumId w:val="88"/>
  </w:num>
  <w:num w:numId="70" w16cid:durableId="1859804670">
    <w:abstractNumId w:val="19"/>
  </w:num>
  <w:num w:numId="71" w16cid:durableId="1469470937">
    <w:abstractNumId w:val="24"/>
  </w:num>
  <w:num w:numId="72" w16cid:durableId="766540952">
    <w:abstractNumId w:val="43"/>
  </w:num>
  <w:num w:numId="73" w16cid:durableId="1449465471">
    <w:abstractNumId w:val="25"/>
  </w:num>
  <w:num w:numId="74" w16cid:durableId="813454341">
    <w:abstractNumId w:val="29"/>
  </w:num>
  <w:num w:numId="75" w16cid:durableId="2066682859">
    <w:abstractNumId w:val="10"/>
  </w:num>
  <w:num w:numId="76" w16cid:durableId="167641256">
    <w:abstractNumId w:val="45"/>
  </w:num>
  <w:num w:numId="77" w16cid:durableId="549804163">
    <w:abstractNumId w:val="69"/>
  </w:num>
  <w:num w:numId="78" w16cid:durableId="732850873">
    <w:abstractNumId w:val="76"/>
  </w:num>
  <w:num w:numId="79" w16cid:durableId="25914594">
    <w:abstractNumId w:val="13"/>
  </w:num>
  <w:num w:numId="80" w16cid:durableId="1014187428">
    <w:abstractNumId w:val="73"/>
  </w:num>
  <w:num w:numId="81" w16cid:durableId="1135761025">
    <w:abstractNumId w:val="67"/>
  </w:num>
  <w:num w:numId="82" w16cid:durableId="543173449">
    <w:abstractNumId w:val="63"/>
  </w:num>
  <w:num w:numId="83" w16cid:durableId="744886611">
    <w:abstractNumId w:val="55"/>
  </w:num>
  <w:num w:numId="84" w16cid:durableId="29107455">
    <w:abstractNumId w:val="51"/>
  </w:num>
  <w:num w:numId="85" w16cid:durableId="689844123">
    <w:abstractNumId w:val="87"/>
  </w:num>
  <w:num w:numId="86" w16cid:durableId="615018669">
    <w:abstractNumId w:val="83"/>
  </w:num>
  <w:num w:numId="87" w16cid:durableId="218051771">
    <w:abstractNumId w:val="66"/>
  </w:num>
  <w:num w:numId="88" w16cid:durableId="1752508765">
    <w:abstractNumId w:val="1"/>
  </w:num>
  <w:num w:numId="89" w16cid:durableId="1346596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10A"/>
    <w:rsid w:val="0003193D"/>
    <w:rsid w:val="00071363"/>
    <w:rsid w:val="000E610A"/>
    <w:rsid w:val="001A271D"/>
    <w:rsid w:val="001A6D13"/>
    <w:rsid w:val="001D0EE4"/>
    <w:rsid w:val="00250BCF"/>
    <w:rsid w:val="00453B00"/>
    <w:rsid w:val="00506DD6"/>
    <w:rsid w:val="005210EC"/>
    <w:rsid w:val="005C6B34"/>
    <w:rsid w:val="005F23B5"/>
    <w:rsid w:val="006015C1"/>
    <w:rsid w:val="006238CC"/>
    <w:rsid w:val="006A4CA4"/>
    <w:rsid w:val="00773531"/>
    <w:rsid w:val="007E5551"/>
    <w:rsid w:val="00874621"/>
    <w:rsid w:val="00887DA1"/>
    <w:rsid w:val="00892142"/>
    <w:rsid w:val="00910D0E"/>
    <w:rsid w:val="00AC383A"/>
    <w:rsid w:val="00BA32E8"/>
    <w:rsid w:val="00C04BC8"/>
    <w:rsid w:val="00C52624"/>
    <w:rsid w:val="00EB5F5E"/>
    <w:rsid w:val="00F8132E"/>
    <w:rsid w:val="00FF76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ADDDB"/>
  <w15:chartTrackingRefBased/>
  <w15:docId w15:val="{3E4748E1-D758-404A-B6A3-314E311EC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B00"/>
    <w:rPr>
      <w:kern w:val="0"/>
      <w14:ligatures w14:val="none"/>
    </w:rPr>
  </w:style>
  <w:style w:type="paragraph" w:styleId="Heading1">
    <w:name w:val="heading 1"/>
    <w:basedOn w:val="Normal"/>
    <w:next w:val="Normal"/>
    <w:link w:val="Heading1Char"/>
    <w:uiPriority w:val="9"/>
    <w:qFormat/>
    <w:rsid w:val="000E61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61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61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61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61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61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61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61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61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1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61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61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61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61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61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61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61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610A"/>
    <w:rPr>
      <w:rFonts w:eastAsiaTheme="majorEastAsia" w:cstheme="majorBidi"/>
      <w:color w:val="272727" w:themeColor="text1" w:themeTint="D8"/>
    </w:rPr>
  </w:style>
  <w:style w:type="paragraph" w:styleId="Title">
    <w:name w:val="Title"/>
    <w:basedOn w:val="Normal"/>
    <w:next w:val="Normal"/>
    <w:link w:val="TitleChar"/>
    <w:uiPriority w:val="10"/>
    <w:qFormat/>
    <w:rsid w:val="000E61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61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61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61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610A"/>
    <w:pPr>
      <w:spacing w:before="160"/>
      <w:jc w:val="center"/>
    </w:pPr>
    <w:rPr>
      <w:i/>
      <w:iCs/>
      <w:color w:val="404040" w:themeColor="text1" w:themeTint="BF"/>
    </w:rPr>
  </w:style>
  <w:style w:type="character" w:customStyle="1" w:styleId="QuoteChar">
    <w:name w:val="Quote Char"/>
    <w:basedOn w:val="DefaultParagraphFont"/>
    <w:link w:val="Quote"/>
    <w:uiPriority w:val="29"/>
    <w:rsid w:val="000E610A"/>
    <w:rPr>
      <w:i/>
      <w:iCs/>
      <w:color w:val="404040" w:themeColor="text1" w:themeTint="BF"/>
    </w:rPr>
  </w:style>
  <w:style w:type="paragraph" w:styleId="ListParagraph">
    <w:name w:val="List Paragraph"/>
    <w:basedOn w:val="Normal"/>
    <w:uiPriority w:val="34"/>
    <w:qFormat/>
    <w:rsid w:val="000E610A"/>
    <w:pPr>
      <w:ind w:left="720"/>
      <w:contextualSpacing/>
    </w:pPr>
  </w:style>
  <w:style w:type="character" w:styleId="IntenseEmphasis">
    <w:name w:val="Intense Emphasis"/>
    <w:basedOn w:val="DefaultParagraphFont"/>
    <w:uiPriority w:val="21"/>
    <w:qFormat/>
    <w:rsid w:val="000E610A"/>
    <w:rPr>
      <w:i/>
      <w:iCs/>
      <w:color w:val="0F4761" w:themeColor="accent1" w:themeShade="BF"/>
    </w:rPr>
  </w:style>
  <w:style w:type="paragraph" w:styleId="IntenseQuote">
    <w:name w:val="Intense Quote"/>
    <w:basedOn w:val="Normal"/>
    <w:next w:val="Normal"/>
    <w:link w:val="IntenseQuoteChar"/>
    <w:uiPriority w:val="30"/>
    <w:qFormat/>
    <w:rsid w:val="000E61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610A"/>
    <w:rPr>
      <w:i/>
      <w:iCs/>
      <w:color w:val="0F4761" w:themeColor="accent1" w:themeShade="BF"/>
    </w:rPr>
  </w:style>
  <w:style w:type="character" w:styleId="IntenseReference">
    <w:name w:val="Intense Reference"/>
    <w:basedOn w:val="DefaultParagraphFont"/>
    <w:uiPriority w:val="32"/>
    <w:qFormat/>
    <w:rsid w:val="000E610A"/>
    <w:rPr>
      <w:b/>
      <w:bCs/>
      <w:smallCaps/>
      <w:color w:val="0F4761" w:themeColor="accent1" w:themeShade="BF"/>
      <w:spacing w:val="5"/>
    </w:rPr>
  </w:style>
  <w:style w:type="paragraph" w:styleId="Header">
    <w:name w:val="header"/>
    <w:basedOn w:val="Normal"/>
    <w:link w:val="HeaderChar"/>
    <w:uiPriority w:val="99"/>
    <w:unhideWhenUsed/>
    <w:rsid w:val="000E61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610A"/>
  </w:style>
  <w:style w:type="paragraph" w:styleId="Footer">
    <w:name w:val="footer"/>
    <w:basedOn w:val="Normal"/>
    <w:link w:val="FooterChar"/>
    <w:uiPriority w:val="99"/>
    <w:unhideWhenUsed/>
    <w:rsid w:val="000E61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610A"/>
  </w:style>
  <w:style w:type="character" w:styleId="Hyperlink">
    <w:name w:val="Hyperlink"/>
    <w:basedOn w:val="DefaultParagraphFont"/>
    <w:uiPriority w:val="99"/>
    <w:unhideWhenUsed/>
    <w:rsid w:val="000E610A"/>
    <w:rPr>
      <w:color w:val="467886" w:themeColor="hyperlink"/>
      <w:u w:val="single"/>
    </w:rPr>
  </w:style>
  <w:style w:type="character" w:styleId="UnresolvedMention">
    <w:name w:val="Unresolved Mention"/>
    <w:basedOn w:val="DefaultParagraphFont"/>
    <w:uiPriority w:val="99"/>
    <w:semiHidden/>
    <w:unhideWhenUsed/>
    <w:rsid w:val="000E610A"/>
    <w:rPr>
      <w:color w:val="605E5C"/>
      <w:shd w:val="clear" w:color="auto" w:fill="E1DFDD"/>
    </w:rPr>
  </w:style>
  <w:style w:type="table" w:styleId="TableGrid">
    <w:name w:val="Table Grid"/>
    <w:basedOn w:val="TableNormal"/>
    <w:uiPriority w:val="39"/>
    <w:rsid w:val="00453B00"/>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53B00"/>
    <w:pPr>
      <w:spacing w:before="100" w:beforeAutospacing="1" w:after="100" w:afterAutospacing="1" w:line="240" w:lineRule="auto"/>
    </w:pPr>
    <w:rPr>
      <w:rFonts w:ascii="Calibri" w:hAnsi="Calibri" w:cs="Calibri"/>
      <w:lang w:val="en-US"/>
    </w:rPr>
  </w:style>
  <w:style w:type="character" w:styleId="Strong">
    <w:name w:val="Strong"/>
    <w:basedOn w:val="DefaultParagraphFont"/>
    <w:uiPriority w:val="22"/>
    <w:qFormat/>
    <w:rsid w:val="00453B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gaptc.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7</Pages>
  <Words>1832</Words>
  <Characters>10446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Kerrin Wilkinson GAPTC</dc:creator>
  <cp:keywords/>
  <dc:description/>
  <cp:lastModifiedBy>Kerrin Wilkinson GAPTC</cp:lastModifiedBy>
  <cp:revision>5</cp:revision>
  <dcterms:created xsi:type="dcterms:W3CDTF">2026-03-23T08:46:00Z</dcterms:created>
  <dcterms:modified xsi:type="dcterms:W3CDTF">2026-03-26T10:25:00Z</dcterms:modified>
</cp:coreProperties>
</file>